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DF" w:rsidRPr="00A73FDF" w:rsidRDefault="00A73FDF" w:rsidP="00A73FDF">
      <w:pPr>
        <w:pStyle w:val="BodyTextRFP"/>
        <w:rPr>
          <w:highlight w:val="yellow"/>
        </w:rPr>
      </w:pPr>
      <w:bookmarkStart w:id="0" w:name="_GoBack"/>
      <w:bookmarkEnd w:id="0"/>
    </w:p>
    <w:p w:rsidR="000159DD" w:rsidRDefault="000159DD" w:rsidP="000159DD">
      <w:pPr>
        <w:pStyle w:val="Title3-RFP"/>
        <w:rPr>
          <w:b/>
        </w:rPr>
      </w:pPr>
      <w:r>
        <w:rPr>
          <w:b/>
          <w:caps w:val="0"/>
          <w:snapToGrid w:val="0"/>
        </w:rPr>
        <w:t>November 17, 202</w:t>
      </w:r>
    </w:p>
    <w:p w:rsidR="000159DD" w:rsidRPr="007E4BE5" w:rsidRDefault="000159DD" w:rsidP="000159DD">
      <w:pPr>
        <w:pStyle w:val="Title3-RFP"/>
        <w:rPr>
          <w:b/>
        </w:rPr>
      </w:pPr>
      <w:r w:rsidRPr="007E4BE5">
        <w:rPr>
          <w:b/>
        </w:rPr>
        <w:t>Request for proposals</w:t>
      </w:r>
    </w:p>
    <w:p w:rsidR="000159DD" w:rsidRPr="005B294A" w:rsidRDefault="000159DD" w:rsidP="000159DD">
      <w:pPr>
        <w:pStyle w:val="BodyTextRFP"/>
      </w:pPr>
    </w:p>
    <w:p w:rsidR="000159DD" w:rsidRPr="00C756C9" w:rsidRDefault="000159DD" w:rsidP="000159DD">
      <w:pPr>
        <w:pStyle w:val="Title3-RFP"/>
        <w:rPr>
          <w:b/>
        </w:rPr>
      </w:pPr>
      <w:r w:rsidRPr="007E4BE5">
        <w:rPr>
          <w:b/>
        </w:rPr>
        <w:t>Development of New Resource</w:t>
      </w:r>
      <w:r>
        <w:rPr>
          <w:b/>
        </w:rPr>
        <w:t>s</w:t>
      </w:r>
    </w:p>
    <w:p w:rsidR="000159DD" w:rsidRDefault="000159DD" w:rsidP="000159DD">
      <w:pPr>
        <w:pStyle w:val="Title3-RFP"/>
        <w:rPr>
          <w:b/>
        </w:rPr>
      </w:pPr>
    </w:p>
    <w:p w:rsidR="000159DD" w:rsidRPr="007E4BE5" w:rsidRDefault="000159DD" w:rsidP="000159DD">
      <w:pPr>
        <w:pStyle w:val="Title3-RFP"/>
        <w:rPr>
          <w:b/>
        </w:rPr>
      </w:pPr>
      <w:r>
        <w:rPr>
          <w:b/>
        </w:rPr>
        <w:t>Enhanced community integration (Social Recreation) Grant</w:t>
      </w:r>
    </w:p>
    <w:p w:rsidR="000159DD" w:rsidRDefault="000159DD" w:rsidP="000159DD">
      <w:pPr>
        <w:pStyle w:val="Default-RFP"/>
      </w:pPr>
    </w:p>
    <w:p w:rsidR="000159DD" w:rsidRPr="005B294A" w:rsidRDefault="000159DD" w:rsidP="000159DD">
      <w:pPr>
        <w:pStyle w:val="Default-RFP"/>
        <w:jc w:val="center"/>
        <w:rPr>
          <w:rFonts w:cs="Arial"/>
          <w:b/>
        </w:rPr>
      </w:pPr>
    </w:p>
    <w:p w:rsidR="000159DD" w:rsidRPr="00A73FDF" w:rsidRDefault="000159DD" w:rsidP="000159DD">
      <w:pPr>
        <w:tabs>
          <w:tab w:val="left" w:pos="-720"/>
        </w:tabs>
        <w:suppressAutoHyphens/>
        <w:jc w:val="center"/>
        <w:rPr>
          <w:rFonts w:ascii="Arial" w:hAnsi="Arial" w:cs="Arial"/>
          <w:b/>
        </w:rPr>
      </w:pPr>
      <w:r w:rsidRPr="00A73FDF">
        <w:rPr>
          <w:rFonts w:ascii="Arial" w:hAnsi="Arial" w:cs="Arial"/>
          <w:b/>
        </w:rPr>
        <w:t>ANNOUNCEMENT</w:t>
      </w:r>
    </w:p>
    <w:p w:rsidR="000159DD" w:rsidRDefault="000159DD" w:rsidP="000159DD">
      <w:pPr>
        <w:tabs>
          <w:tab w:val="left" w:pos="-720"/>
        </w:tabs>
        <w:suppressAutoHyphens/>
        <w:rPr>
          <w:rFonts w:cs="Arial"/>
        </w:rPr>
      </w:pPr>
      <w:r w:rsidRPr="005B294A">
        <w:rPr>
          <w:rFonts w:cs="Arial"/>
        </w:rPr>
        <w:t xml:space="preserve"> </w:t>
      </w:r>
    </w:p>
    <w:p w:rsidR="000159DD" w:rsidRPr="00A73FDF" w:rsidRDefault="000159DD" w:rsidP="000159DD">
      <w:pPr>
        <w:tabs>
          <w:tab w:val="left" w:pos="-720"/>
        </w:tabs>
        <w:suppressAutoHyphens/>
        <w:rPr>
          <w:rFonts w:ascii="Arial" w:hAnsi="Arial" w:cs="Arial"/>
        </w:rPr>
      </w:pPr>
      <w:r w:rsidRPr="00A73FDF">
        <w:rPr>
          <w:rFonts w:ascii="Arial" w:hAnsi="Arial" w:cs="Arial"/>
        </w:rPr>
        <w:t>The Frank D. Lanterman Regional Center (FDLRC) is seeking proposals from community entities to enhance and develop integrated and inclusive social and recreational programs for families, children and adolescents with developmental disabilities in underserved communities. The service shall meet the following goals:</w:t>
      </w:r>
    </w:p>
    <w:p w:rsidR="000159DD" w:rsidRPr="00A73FDF" w:rsidRDefault="000159DD" w:rsidP="000159DD">
      <w:pPr>
        <w:tabs>
          <w:tab w:val="left" w:pos="-720"/>
        </w:tabs>
        <w:suppressAutoHyphens/>
        <w:rPr>
          <w:rFonts w:ascii="Arial" w:hAnsi="Arial" w:cs="Arial"/>
        </w:rPr>
      </w:pPr>
    </w:p>
    <w:p w:rsidR="000159DD" w:rsidRPr="00A73FDF" w:rsidRDefault="000159DD" w:rsidP="000159DD">
      <w:pPr>
        <w:pStyle w:val="ListParagraph"/>
        <w:numPr>
          <w:ilvl w:val="0"/>
          <w:numId w:val="31"/>
        </w:numPr>
        <w:ind w:left="720"/>
        <w:jc w:val="both"/>
        <w:rPr>
          <w:rFonts w:ascii="Arial" w:eastAsia="Times New Roman" w:hAnsi="Arial" w:cs="Arial"/>
          <w:lang w:eastAsia="en-US"/>
        </w:rPr>
      </w:pPr>
      <w:r w:rsidRPr="00A73FDF">
        <w:rPr>
          <w:rFonts w:ascii="Arial" w:eastAsia="Times New Roman" w:hAnsi="Arial" w:cs="Arial"/>
          <w:lang w:eastAsia="en-US"/>
        </w:rPr>
        <w:t>Improve accessibility of integrated social and recreational programs that are person centered and culturally and linguistically responsive to the beliefs, values and choices of children and adolescents with intellectual and developmental disabilities.</w:t>
      </w:r>
    </w:p>
    <w:p w:rsidR="000159DD" w:rsidRPr="00A73FDF" w:rsidRDefault="000159DD" w:rsidP="000159DD">
      <w:pPr>
        <w:ind w:left="720" w:hanging="360"/>
        <w:jc w:val="both"/>
        <w:rPr>
          <w:rFonts w:ascii="Arial" w:hAnsi="Arial" w:cs="Arial"/>
        </w:rPr>
      </w:pPr>
      <w:r w:rsidRPr="00A73FDF">
        <w:rPr>
          <w:rFonts w:ascii="Arial" w:hAnsi="Arial" w:cs="Arial"/>
        </w:rPr>
        <w:t xml:space="preserve">• </w:t>
      </w:r>
      <w:r w:rsidRPr="00A73FDF">
        <w:rPr>
          <w:rFonts w:ascii="Arial" w:hAnsi="Arial" w:cs="Arial"/>
        </w:rPr>
        <w:tab/>
        <w:t xml:space="preserve">Utilize and leverage existing community resources to enhance and develop integrated and inclusive social and recreational programs that are safe and age appropriate; and </w:t>
      </w:r>
    </w:p>
    <w:p w:rsidR="000159DD" w:rsidRPr="00A73FDF" w:rsidRDefault="000159DD" w:rsidP="000159DD">
      <w:pPr>
        <w:ind w:left="720" w:hanging="360"/>
        <w:jc w:val="both"/>
        <w:rPr>
          <w:rFonts w:ascii="Arial" w:hAnsi="Arial" w:cs="Arial"/>
        </w:rPr>
      </w:pPr>
      <w:r w:rsidRPr="00A73FDF">
        <w:rPr>
          <w:rFonts w:ascii="Arial" w:hAnsi="Arial" w:cs="Arial"/>
        </w:rPr>
        <w:t xml:space="preserve">• </w:t>
      </w:r>
      <w:r w:rsidRPr="00A73FDF">
        <w:rPr>
          <w:rFonts w:ascii="Arial" w:hAnsi="Arial" w:cs="Arial"/>
        </w:rPr>
        <w:tab/>
        <w:t>Increase the number of RC vendored providers that offer integrated and inclusive social and recreational services to people with intellectual and developmental disabilities.</w:t>
      </w:r>
    </w:p>
    <w:p w:rsidR="000159DD" w:rsidRPr="00A73FDF" w:rsidRDefault="000159DD" w:rsidP="000159DD">
      <w:pPr>
        <w:tabs>
          <w:tab w:val="left" w:pos="-720"/>
        </w:tabs>
        <w:suppressAutoHyphens/>
        <w:rPr>
          <w:rFonts w:ascii="Arial" w:hAnsi="Arial" w:cs="Arial"/>
          <w:szCs w:val="20"/>
        </w:rPr>
      </w:pPr>
    </w:p>
    <w:p w:rsidR="000159DD" w:rsidRPr="00A73FDF" w:rsidRDefault="000159DD" w:rsidP="000159DD">
      <w:pPr>
        <w:pStyle w:val="BodyTextRFP"/>
        <w:rPr>
          <w:rFonts w:cs="Arial"/>
          <w:b/>
        </w:rPr>
      </w:pPr>
      <w:r w:rsidRPr="00A73FDF">
        <w:rPr>
          <w:rFonts w:cs="Arial"/>
          <w:szCs w:val="24"/>
        </w:rPr>
        <w:t xml:space="preserve">If you are interested in developing these services, please complete a proposal in accordance with the submission instructions below. The next sections of the RFP briefly describe the service need, service specifications and procedures for vendorization. </w:t>
      </w:r>
    </w:p>
    <w:p w:rsidR="000159DD" w:rsidRPr="00A73FDF" w:rsidRDefault="000159DD" w:rsidP="000159DD">
      <w:pPr>
        <w:pStyle w:val="BodyTextRFP"/>
        <w:rPr>
          <w:rFonts w:cs="Arial"/>
          <w:b/>
        </w:rPr>
      </w:pPr>
    </w:p>
    <w:p w:rsidR="000159DD" w:rsidRPr="00A73FDF" w:rsidRDefault="000159DD" w:rsidP="000159DD">
      <w:pPr>
        <w:rPr>
          <w:rFonts w:ascii="Arial" w:hAnsi="Arial" w:cs="Arial"/>
        </w:rPr>
      </w:pPr>
    </w:p>
    <w:p w:rsidR="000159DD" w:rsidRPr="00A73FDF" w:rsidRDefault="000159DD" w:rsidP="000159DD">
      <w:pPr>
        <w:pStyle w:val="BodyTextRFP"/>
        <w:rPr>
          <w:rFonts w:cs="Arial"/>
        </w:rPr>
      </w:pPr>
      <w:r w:rsidRPr="00A73FDF">
        <w:rPr>
          <w:rFonts w:cs="Arial"/>
          <w:b/>
        </w:rPr>
        <w:t>Deadline for Submission</w:t>
      </w:r>
    </w:p>
    <w:p w:rsidR="000159DD" w:rsidRPr="00A73FDF" w:rsidRDefault="000159DD" w:rsidP="000159DD">
      <w:pPr>
        <w:pStyle w:val="BodyTextRFP"/>
        <w:rPr>
          <w:rFonts w:cs="Arial"/>
          <w:szCs w:val="24"/>
        </w:rPr>
      </w:pPr>
    </w:p>
    <w:p w:rsidR="000159DD" w:rsidRPr="00A73FDF" w:rsidRDefault="000159DD" w:rsidP="000159DD">
      <w:pPr>
        <w:pStyle w:val="BodyTextRFP"/>
        <w:rPr>
          <w:rFonts w:cs="Arial"/>
          <w:szCs w:val="24"/>
        </w:rPr>
      </w:pPr>
      <w:r w:rsidRPr="00A73FDF">
        <w:rPr>
          <w:rFonts w:cs="Arial"/>
        </w:rPr>
        <w:t xml:space="preserve">Proposals must be received by the Regional Center by 4:00 PM on Wednesday, December 28, 2022. </w:t>
      </w:r>
      <w:r w:rsidRPr="00A73FDF">
        <w:rPr>
          <w:rFonts w:cs="Arial"/>
          <w:szCs w:val="24"/>
        </w:rPr>
        <w:t>Applications that are incomplete, fail to comply with instructions or do not meet the basic requirements will be disqualified. No proposals will be returned.</w:t>
      </w:r>
    </w:p>
    <w:p w:rsidR="000159DD" w:rsidRDefault="000159DD" w:rsidP="000159DD"/>
    <w:p w:rsidR="000159DD" w:rsidRDefault="000159DD" w:rsidP="000159DD"/>
    <w:p w:rsidR="000159DD" w:rsidRPr="00A73FDF" w:rsidRDefault="000159DD" w:rsidP="000159DD">
      <w:pPr>
        <w:jc w:val="center"/>
        <w:rPr>
          <w:rFonts w:ascii="Arial" w:hAnsi="Arial" w:cs="Arial"/>
          <w:b/>
        </w:rPr>
      </w:pPr>
      <w:r w:rsidRPr="00A73FDF">
        <w:rPr>
          <w:rFonts w:ascii="Arial" w:hAnsi="Arial" w:cs="Arial"/>
          <w:b/>
        </w:rPr>
        <w:t>Christian Irigoyen</w:t>
      </w:r>
    </w:p>
    <w:p w:rsidR="000159DD" w:rsidRPr="00A73FDF" w:rsidRDefault="000159DD" w:rsidP="000159DD">
      <w:pPr>
        <w:jc w:val="center"/>
        <w:rPr>
          <w:rFonts w:ascii="Arial" w:hAnsi="Arial" w:cs="Arial"/>
          <w:b/>
        </w:rPr>
      </w:pPr>
      <w:r w:rsidRPr="00A73FDF">
        <w:rPr>
          <w:rFonts w:ascii="Arial" w:hAnsi="Arial" w:cs="Arial"/>
          <w:b/>
        </w:rPr>
        <w:t>Resource Developer</w:t>
      </w:r>
    </w:p>
    <w:p w:rsidR="000159DD" w:rsidRPr="00A73FDF" w:rsidRDefault="000159DD" w:rsidP="000159DD">
      <w:pPr>
        <w:jc w:val="center"/>
        <w:rPr>
          <w:rFonts w:ascii="Arial" w:hAnsi="Arial" w:cs="Arial"/>
          <w:b/>
        </w:rPr>
      </w:pPr>
      <w:r w:rsidRPr="00A73FDF">
        <w:rPr>
          <w:rFonts w:ascii="Arial" w:hAnsi="Arial" w:cs="Arial"/>
          <w:b/>
        </w:rPr>
        <w:t xml:space="preserve">Frank D. Lanterman Regional Center </w:t>
      </w:r>
    </w:p>
    <w:p w:rsidR="000159DD" w:rsidRPr="00A73FDF" w:rsidRDefault="00570E4A" w:rsidP="000159DD">
      <w:pPr>
        <w:jc w:val="center"/>
        <w:rPr>
          <w:rFonts w:ascii="Arial" w:hAnsi="Arial" w:cs="Arial"/>
          <w:b/>
        </w:rPr>
      </w:pPr>
      <w:hyperlink r:id="rId10" w:history="1">
        <w:r w:rsidR="000159DD" w:rsidRPr="00A73FDF">
          <w:rPr>
            <w:rStyle w:val="Hyperlink"/>
            <w:rFonts w:ascii="Arial" w:hAnsi="Arial" w:cs="Arial"/>
            <w:b/>
          </w:rPr>
          <w:t>cirigoyen@lanterman.org</w:t>
        </w:r>
      </w:hyperlink>
      <w:r w:rsidR="000159DD" w:rsidRPr="00A73FDF">
        <w:rPr>
          <w:rFonts w:ascii="Arial" w:hAnsi="Arial" w:cs="Arial"/>
          <w:b/>
        </w:rPr>
        <w:t xml:space="preserve"> </w:t>
      </w:r>
    </w:p>
    <w:p w:rsidR="000159DD" w:rsidRPr="00A73FDF" w:rsidRDefault="000159DD" w:rsidP="000159DD">
      <w:pPr>
        <w:rPr>
          <w:rFonts w:ascii="Arial" w:hAnsi="Arial" w:cs="Arial"/>
        </w:rPr>
      </w:pPr>
    </w:p>
    <w:p w:rsidR="000159DD" w:rsidRPr="00A73FDF" w:rsidRDefault="000159DD" w:rsidP="000159DD">
      <w:pPr>
        <w:pStyle w:val="BodyTextRFP"/>
        <w:rPr>
          <w:rFonts w:cs="Arial"/>
          <w:szCs w:val="24"/>
        </w:rPr>
      </w:pPr>
    </w:p>
    <w:p w:rsidR="000159DD" w:rsidRPr="00A73FDF" w:rsidRDefault="000159DD" w:rsidP="000159DD">
      <w:pPr>
        <w:pStyle w:val="BodyTextRFP"/>
        <w:rPr>
          <w:rFonts w:cs="Arial"/>
          <w:szCs w:val="24"/>
        </w:rPr>
      </w:pPr>
      <w:r w:rsidRPr="00A73FDF">
        <w:rPr>
          <w:rFonts w:cs="Arial"/>
          <w:szCs w:val="24"/>
        </w:rPr>
        <w:t xml:space="preserve">This RFP does not commit Lanterman Regional Center to procure or vendor the proposed service. Vendorization does not guarantee client referrals or purchases of service. </w:t>
      </w:r>
    </w:p>
    <w:p w:rsidR="000159DD" w:rsidRPr="008758D6" w:rsidRDefault="000159DD" w:rsidP="000159DD">
      <w:pPr>
        <w:rPr>
          <w:rFonts w:ascii="Arial" w:hAnsi="Arial" w:cs="Arial"/>
        </w:rPr>
      </w:pPr>
      <w:r w:rsidRPr="00A73FDF">
        <w:rPr>
          <w:rFonts w:ascii="Arial" w:hAnsi="Arial" w:cs="Arial"/>
        </w:rPr>
        <w:t xml:space="preserve"> </w:t>
      </w:r>
    </w:p>
    <w:p w:rsidR="000159DD" w:rsidRDefault="000159DD" w:rsidP="000159DD">
      <w:pPr>
        <w:pStyle w:val="Title3-RFP"/>
        <w:rPr>
          <w:b/>
          <w:caps w:val="0"/>
          <w:snapToGrid w:val="0"/>
        </w:rPr>
        <w:sectPr w:rsidR="000159DD" w:rsidSect="000159DD">
          <w:headerReference w:type="default" r:id="rId11"/>
          <w:footerReference w:type="default" r:id="rId12"/>
          <w:pgSz w:w="12240" w:h="15840"/>
          <w:pgMar w:top="1440" w:right="1080" w:bottom="1440" w:left="1080" w:header="1152" w:footer="144" w:gutter="0"/>
          <w:cols w:space="720"/>
          <w:docGrid w:linePitch="360"/>
        </w:sectPr>
      </w:pPr>
    </w:p>
    <w:p w:rsidR="000159DD" w:rsidRDefault="000159DD" w:rsidP="000159DD">
      <w:pPr>
        <w:pStyle w:val="Title3-RFP"/>
        <w:jc w:val="left"/>
        <w:rPr>
          <w:b/>
        </w:rPr>
        <w:sectPr w:rsidR="000159DD" w:rsidSect="000159DD">
          <w:type w:val="continuous"/>
          <w:pgSz w:w="12240" w:h="15840"/>
          <w:pgMar w:top="1440" w:right="1080" w:bottom="1440" w:left="1080" w:header="1152" w:footer="144" w:gutter="0"/>
          <w:cols w:space="720"/>
          <w:docGrid w:linePitch="360"/>
        </w:sectPr>
      </w:pPr>
    </w:p>
    <w:p w:rsidR="000159DD" w:rsidRDefault="000159DD" w:rsidP="000159DD">
      <w:pPr>
        <w:pStyle w:val="Title3-RFP"/>
        <w:jc w:val="left"/>
        <w:rPr>
          <w:b/>
        </w:rPr>
        <w:sectPr w:rsidR="000159DD" w:rsidSect="000159DD">
          <w:headerReference w:type="default" r:id="rId13"/>
          <w:pgSz w:w="12240" w:h="15840"/>
          <w:pgMar w:top="1440" w:right="1080" w:bottom="1440" w:left="1080" w:header="1152" w:footer="144" w:gutter="0"/>
          <w:cols w:space="720"/>
          <w:docGrid w:linePitch="360"/>
        </w:sectPr>
      </w:pPr>
    </w:p>
    <w:p w:rsidR="00E44E78" w:rsidRPr="00C26C74" w:rsidRDefault="00790BFA" w:rsidP="00790BFA">
      <w:pPr>
        <w:pStyle w:val="Header1RFP"/>
        <w:rPr>
          <w:rFonts w:cs="Arial"/>
          <w:szCs w:val="24"/>
        </w:rPr>
      </w:pPr>
      <w:r>
        <w:rPr>
          <w:rFonts w:cs="Arial"/>
          <w:szCs w:val="24"/>
        </w:rPr>
        <w:t xml:space="preserve">  </w:t>
      </w:r>
      <w:r w:rsidR="00E44E78" w:rsidRPr="00C26C74">
        <w:rPr>
          <w:rFonts w:cs="Arial"/>
          <w:szCs w:val="24"/>
        </w:rPr>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E44E78" w:rsidRPr="00A73FDF" w:rsidTr="00361A5F">
        <w:tc>
          <w:tcPr>
            <w:tcW w:w="10263" w:type="dxa"/>
            <w:tcBorders>
              <w:top w:val="nil"/>
              <w:left w:val="nil"/>
              <w:bottom w:val="nil"/>
              <w:right w:val="nil"/>
            </w:tcBorders>
          </w:tcPr>
          <w:p w:rsidR="00E44E78" w:rsidRDefault="00E44E78" w:rsidP="00790BFA">
            <w:pPr>
              <w:pBdr>
                <w:top w:val="nil"/>
                <w:left w:val="nil"/>
                <w:bottom w:val="nil"/>
                <w:right w:val="nil"/>
                <w:between w:val="nil"/>
                <w:bar w:val="nil"/>
              </w:pBdr>
              <w:jc w:val="both"/>
              <w:rPr>
                <w:rFonts w:ascii="Arial" w:hAnsi="Arial" w:cs="Arial"/>
              </w:rPr>
            </w:pPr>
            <w:r w:rsidRPr="00A73FDF">
              <w:rPr>
                <w:rFonts w:ascii="Arial" w:hAnsi="Arial" w:cs="Arial"/>
              </w:rPr>
              <w:t xml:space="preserve">Community entities will submit grant proposals to the regional centers (RCs), which the RCs will score and prioritize according to the grant goals, grant priorities and the needs of the regional center’s catchment area. RCs will recommend grant proposals for approval and </w:t>
            </w:r>
            <w:r w:rsidR="00FD197D">
              <w:rPr>
                <w:rFonts w:ascii="Arial" w:hAnsi="Arial" w:cs="Arial"/>
              </w:rPr>
              <w:t>the California Department of Developmental Services (</w:t>
            </w:r>
            <w:r w:rsidRPr="00A73FDF">
              <w:rPr>
                <w:rFonts w:ascii="Arial" w:hAnsi="Arial" w:cs="Arial"/>
              </w:rPr>
              <w:t>DDS</w:t>
            </w:r>
            <w:r w:rsidR="00FD197D">
              <w:rPr>
                <w:rFonts w:ascii="Arial" w:hAnsi="Arial" w:cs="Arial"/>
              </w:rPr>
              <w:t>)</w:t>
            </w:r>
            <w:r w:rsidRPr="00A73FDF">
              <w:rPr>
                <w:rFonts w:ascii="Arial" w:hAnsi="Arial" w:cs="Arial"/>
              </w:rPr>
              <w:t xml:space="preserve"> will determine which grant proposals will be approved. RCs will contract with grantees for the 8-month project term. Grantees will report their progress on meeting standard outcome measures to RCs on a quarterly basis on a form provided by DDS. RCs will review and approve quarterly reports. Approved progress reports will be submitted to DDS. DDS will review progress reports and provide feedback to RCs as needed. To be considered for approval, proposals must meet criteria within these guidelines; reflect collaborative efforts between RCs and applicants; and support children and adolescents who are:</w:t>
            </w:r>
          </w:p>
          <w:p w:rsidR="00A73FDF" w:rsidRPr="00A73FDF" w:rsidRDefault="00A73FDF" w:rsidP="00790BFA">
            <w:pPr>
              <w:pBdr>
                <w:top w:val="nil"/>
                <w:left w:val="nil"/>
                <w:bottom w:val="nil"/>
                <w:right w:val="nil"/>
                <w:between w:val="nil"/>
                <w:bar w:val="nil"/>
              </w:pBdr>
              <w:jc w:val="both"/>
              <w:rPr>
                <w:rFonts w:ascii="Arial" w:hAnsi="Arial" w:cs="Arial"/>
              </w:rPr>
            </w:pPr>
          </w:p>
          <w:p w:rsidR="00E44E78" w:rsidRPr="00A73FDF" w:rsidRDefault="00E44E78" w:rsidP="00790BFA">
            <w:pPr>
              <w:pStyle w:val="ListParagraph"/>
              <w:numPr>
                <w:ilvl w:val="0"/>
                <w:numId w:val="3"/>
              </w:numPr>
              <w:pBdr>
                <w:top w:val="nil"/>
                <w:left w:val="nil"/>
                <w:bottom w:val="nil"/>
                <w:right w:val="nil"/>
                <w:between w:val="nil"/>
                <w:bar w:val="nil"/>
              </w:pBdr>
              <w:ind w:left="0"/>
              <w:jc w:val="both"/>
              <w:rPr>
                <w:rFonts w:ascii="Arial" w:eastAsia="Times New Roman" w:hAnsi="Arial" w:cs="Arial"/>
                <w:lang w:eastAsia="en-US"/>
              </w:rPr>
            </w:pPr>
            <w:r w:rsidRPr="00A73FDF">
              <w:rPr>
                <w:rFonts w:ascii="Arial" w:eastAsia="Times New Roman" w:hAnsi="Arial" w:cs="Arial"/>
                <w:lang w:eastAsia="en-US"/>
              </w:rPr>
              <w:t>Three (3) to twenty-one (21) years of age</w:t>
            </w:r>
          </w:p>
          <w:p w:rsidR="00E44E78" w:rsidRPr="00A73FDF" w:rsidRDefault="00E44E78" w:rsidP="00790BFA">
            <w:pPr>
              <w:pStyle w:val="ListParagraph"/>
              <w:numPr>
                <w:ilvl w:val="0"/>
                <w:numId w:val="3"/>
              </w:numPr>
              <w:pBdr>
                <w:top w:val="nil"/>
                <w:left w:val="nil"/>
                <w:bottom w:val="nil"/>
                <w:right w:val="nil"/>
                <w:between w:val="nil"/>
                <w:bar w:val="nil"/>
              </w:pBdr>
              <w:ind w:left="0"/>
              <w:jc w:val="both"/>
              <w:rPr>
                <w:rFonts w:ascii="Arial" w:eastAsia="Times New Roman" w:hAnsi="Arial" w:cs="Arial"/>
                <w:lang w:eastAsia="en-US"/>
              </w:rPr>
            </w:pPr>
            <w:r w:rsidRPr="00A73FDF">
              <w:rPr>
                <w:rFonts w:ascii="Arial" w:eastAsia="Times New Roman" w:hAnsi="Arial" w:cs="Arial"/>
                <w:lang w:eastAsia="en-US"/>
              </w:rPr>
              <w:t xml:space="preserve">Determined eligible for RC services including provisional eligibility </w:t>
            </w:r>
            <w:r w:rsidR="00790BFA">
              <w:rPr>
                <w:rFonts w:ascii="Arial" w:eastAsia="Times New Roman" w:hAnsi="Arial" w:cs="Arial"/>
                <w:lang w:eastAsia="en-US"/>
              </w:rPr>
              <w:t>f</w:t>
            </w:r>
            <w:r w:rsidRPr="00A73FDF">
              <w:rPr>
                <w:rFonts w:ascii="Arial" w:eastAsia="Times New Roman" w:hAnsi="Arial" w:cs="Arial"/>
                <w:lang w:eastAsia="en-US"/>
              </w:rPr>
              <w:t>or Lanterman Act programs</w:t>
            </w:r>
          </w:p>
          <w:p w:rsidR="00E44E78" w:rsidRPr="00A73FDF" w:rsidRDefault="00E44E78" w:rsidP="00790BFA">
            <w:pPr>
              <w:pStyle w:val="ListParagraph"/>
              <w:numPr>
                <w:ilvl w:val="0"/>
                <w:numId w:val="3"/>
              </w:numPr>
              <w:pBdr>
                <w:top w:val="nil"/>
                <w:left w:val="nil"/>
                <w:bottom w:val="nil"/>
                <w:right w:val="nil"/>
                <w:between w:val="nil"/>
                <w:bar w:val="nil"/>
              </w:pBdr>
              <w:ind w:left="0"/>
              <w:jc w:val="both"/>
              <w:rPr>
                <w:rFonts w:ascii="Arial" w:eastAsia="Times New Roman" w:hAnsi="Arial" w:cs="Arial"/>
                <w:lang w:eastAsia="en-US"/>
              </w:rPr>
            </w:pPr>
            <w:r w:rsidRPr="00A73FDF">
              <w:rPr>
                <w:rFonts w:ascii="Arial" w:eastAsia="Times New Roman" w:hAnsi="Arial" w:cs="Arial"/>
                <w:lang w:eastAsia="en-US"/>
              </w:rPr>
              <w:t>From diverse monolingual and multilingual communities who face barriers to accessing RC services</w:t>
            </w:r>
          </w:p>
          <w:p w:rsidR="00E44E78" w:rsidRPr="00A73FDF" w:rsidRDefault="00E44E78" w:rsidP="00790BFA">
            <w:pPr>
              <w:pBdr>
                <w:top w:val="nil"/>
                <w:left w:val="nil"/>
                <w:bottom w:val="nil"/>
                <w:right w:val="nil"/>
                <w:between w:val="nil"/>
                <w:bar w:val="nil"/>
              </w:pBdr>
              <w:jc w:val="both"/>
              <w:rPr>
                <w:rFonts w:ascii="Arial" w:hAnsi="Arial" w:cs="Arial"/>
              </w:rPr>
            </w:pPr>
          </w:p>
          <w:p w:rsidR="00E44E78" w:rsidRPr="00A73FDF" w:rsidRDefault="00E44E78" w:rsidP="00790BFA">
            <w:pPr>
              <w:pBdr>
                <w:top w:val="nil"/>
                <w:left w:val="nil"/>
                <w:bottom w:val="nil"/>
                <w:right w:val="nil"/>
                <w:between w:val="nil"/>
                <w:bar w:val="nil"/>
              </w:pBdr>
              <w:jc w:val="both"/>
              <w:rPr>
                <w:rFonts w:ascii="Arial" w:hAnsi="Arial" w:cs="Arial"/>
              </w:rPr>
            </w:pPr>
            <w:r w:rsidRPr="00A73FDF">
              <w:rPr>
                <w:rFonts w:ascii="Arial" w:hAnsi="Arial" w:cs="Arial"/>
              </w:rPr>
              <w:t>Proposals supporting children and adolescents with hearing loss and from rural areas will be strongly considered.</w:t>
            </w:r>
          </w:p>
          <w:p w:rsidR="00E44E78" w:rsidRPr="00A73FDF" w:rsidRDefault="00E44E78" w:rsidP="00790BFA">
            <w:pPr>
              <w:pStyle w:val="BodyTextRFP"/>
              <w:rPr>
                <w:rFonts w:cs="Arial"/>
                <w:szCs w:val="24"/>
              </w:rPr>
            </w:pPr>
          </w:p>
          <w:p w:rsidR="00E44E78" w:rsidRPr="00A73FDF" w:rsidRDefault="00E44E78" w:rsidP="00790BFA">
            <w:pPr>
              <w:rPr>
                <w:rFonts w:ascii="Arial" w:hAnsi="Arial" w:cs="Arial"/>
              </w:rPr>
            </w:pPr>
          </w:p>
          <w:p w:rsidR="00E44E78" w:rsidRDefault="00E44E78" w:rsidP="00790BFA">
            <w:pPr>
              <w:pStyle w:val="Header2RFP"/>
              <w:rPr>
                <w:rFonts w:cs="Arial"/>
                <w:snapToGrid w:val="0"/>
                <w:szCs w:val="24"/>
              </w:rPr>
            </w:pPr>
            <w:r w:rsidRPr="00A73FDF">
              <w:rPr>
                <w:rFonts w:cs="Arial"/>
                <w:snapToGrid w:val="0"/>
                <w:szCs w:val="24"/>
              </w:rPr>
              <w:t>Geographic Location</w:t>
            </w:r>
          </w:p>
          <w:p w:rsidR="00A73FDF" w:rsidRPr="00A73FDF" w:rsidRDefault="00A73FDF" w:rsidP="00790BFA">
            <w:pPr>
              <w:pStyle w:val="BodyTextRFP"/>
            </w:pPr>
          </w:p>
          <w:p w:rsidR="00E44E78" w:rsidRPr="00A73FDF" w:rsidRDefault="00E44E78" w:rsidP="00790BFA">
            <w:pPr>
              <w:pStyle w:val="BodyTextRFP"/>
              <w:rPr>
                <w:rFonts w:cs="Arial"/>
                <w:szCs w:val="24"/>
              </w:rPr>
            </w:pPr>
            <w:r w:rsidRPr="00A73FDF">
              <w:rPr>
                <w:rFonts w:cs="Arial"/>
                <w:szCs w:val="24"/>
              </w:rPr>
              <w:t>The Frank D. Lanterman Regional Center provides services to individuals in the cities of Burbank, Glendale, La Cañada and Pasadena, as well as the Hollywood, mid-Wilshire and Downtown areas of Los Angeles. Provider is strongly encouraged to serve all cities.</w:t>
            </w:r>
          </w:p>
          <w:p w:rsidR="00E44E78" w:rsidRPr="00A73FDF" w:rsidRDefault="00E44E78" w:rsidP="00790BFA">
            <w:pPr>
              <w:pStyle w:val="BodyTextRFP"/>
              <w:rPr>
                <w:rFonts w:cs="Arial"/>
                <w:szCs w:val="24"/>
              </w:rPr>
            </w:pPr>
          </w:p>
        </w:tc>
      </w:tr>
    </w:tbl>
    <w:p w:rsidR="008758D6" w:rsidRDefault="008758D6" w:rsidP="00E44E78">
      <w:pPr>
        <w:pBdr>
          <w:top w:val="nil"/>
          <w:left w:val="nil"/>
          <w:bottom w:val="nil"/>
          <w:right w:val="nil"/>
          <w:between w:val="nil"/>
          <w:bar w:val="nil"/>
        </w:pBdr>
        <w:jc w:val="both"/>
        <w:rPr>
          <w:rFonts w:ascii="Arial" w:hAnsi="Arial" w:cs="Arial"/>
          <w:b/>
          <w:u w:val="single"/>
        </w:rPr>
      </w:pPr>
    </w:p>
    <w:p w:rsidR="00E44E78" w:rsidRDefault="00E44E78" w:rsidP="00E44E78">
      <w:pPr>
        <w:pBdr>
          <w:top w:val="nil"/>
          <w:left w:val="nil"/>
          <w:bottom w:val="nil"/>
          <w:right w:val="nil"/>
          <w:between w:val="nil"/>
          <w:bar w:val="nil"/>
        </w:pBdr>
        <w:jc w:val="both"/>
        <w:rPr>
          <w:rFonts w:ascii="Arial" w:hAnsi="Arial" w:cs="Arial"/>
          <w:b/>
          <w:u w:val="single"/>
        </w:rPr>
      </w:pPr>
      <w:r w:rsidRPr="00A73FDF">
        <w:rPr>
          <w:rFonts w:ascii="Arial" w:hAnsi="Arial" w:cs="Arial"/>
          <w:b/>
          <w:u w:val="single"/>
        </w:rPr>
        <w:t>Social Rec. Grant Priorities</w:t>
      </w:r>
    </w:p>
    <w:p w:rsidR="00A73FDF" w:rsidRPr="00A73FDF" w:rsidRDefault="00A73FDF" w:rsidP="00E44E78">
      <w:pPr>
        <w:pBdr>
          <w:top w:val="nil"/>
          <w:left w:val="nil"/>
          <w:bottom w:val="nil"/>
          <w:right w:val="nil"/>
          <w:between w:val="nil"/>
          <w:bar w:val="nil"/>
        </w:pBdr>
        <w:jc w:val="both"/>
        <w:rPr>
          <w:rFonts w:ascii="Arial" w:hAnsi="Arial" w:cs="Arial"/>
          <w:b/>
          <w:u w:val="single"/>
        </w:rPr>
      </w:pPr>
    </w:p>
    <w:p w:rsidR="00E44E78" w:rsidRPr="00A73FDF" w:rsidRDefault="00FD197D" w:rsidP="00E44E78">
      <w:pPr>
        <w:pBdr>
          <w:top w:val="nil"/>
          <w:left w:val="nil"/>
          <w:bottom w:val="nil"/>
          <w:right w:val="nil"/>
          <w:between w:val="nil"/>
          <w:bar w:val="nil"/>
        </w:pBdr>
        <w:jc w:val="both"/>
        <w:rPr>
          <w:rFonts w:ascii="Arial" w:hAnsi="Arial" w:cs="Arial"/>
        </w:rPr>
      </w:pPr>
      <w:r>
        <w:rPr>
          <w:rFonts w:ascii="Arial" w:hAnsi="Arial" w:cs="Arial"/>
        </w:rPr>
        <w:t>DDS</w:t>
      </w:r>
      <w:r w:rsidR="00E44E78" w:rsidRPr="00A73FDF">
        <w:rPr>
          <w:rFonts w:ascii="Arial" w:hAnsi="Arial" w:cs="Arial"/>
        </w:rPr>
        <w:t xml:space="preserve"> developed the following grant priorities with input from families, self-advocates, the Association of Regional Center Agencies, community-based organizations (CBOs) and local parks and recreation entities. Proposals that address the following priorities will be strongly considered:</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Style w:val="ListParagraph"/>
        <w:numPr>
          <w:ilvl w:val="0"/>
          <w:numId w:val="4"/>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Create, re-establish and/or enhance existing programs that are inclusive of children and adolescents with I/DD by applying evidence-based, best or emerging practices</w:t>
      </w:r>
    </w:p>
    <w:p w:rsidR="00E44E78" w:rsidRPr="00A73FDF" w:rsidRDefault="00E44E78" w:rsidP="00E44E78">
      <w:pPr>
        <w:pStyle w:val="ListParagraph"/>
        <w:numPr>
          <w:ilvl w:val="0"/>
          <w:numId w:val="4"/>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Support development of friendships between children and adolescents through integrated and inclusive programs and activities </w:t>
      </w:r>
    </w:p>
    <w:p w:rsidR="00E44E78" w:rsidRPr="00A73FDF" w:rsidRDefault="00E44E78" w:rsidP="00E44E78">
      <w:pPr>
        <w:pStyle w:val="ListParagraph"/>
        <w:numPr>
          <w:ilvl w:val="0"/>
          <w:numId w:val="4"/>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Hire and train staff to ensure the provision of adequate support for children and adolescents with complex needs (i.e., physical, and behavioral)</w:t>
      </w:r>
    </w:p>
    <w:p w:rsidR="00E44E78" w:rsidRPr="00A73FDF" w:rsidRDefault="00E44E78" w:rsidP="00E44E78">
      <w:pPr>
        <w:pStyle w:val="ListParagraph"/>
        <w:numPr>
          <w:ilvl w:val="0"/>
          <w:numId w:val="4"/>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Support communities with cultural awareness and sensitivity by enhancing language access and cultural competence within social and recreational programs and activities</w:t>
      </w:r>
    </w:p>
    <w:p w:rsidR="00E44E78" w:rsidRPr="00A73FDF" w:rsidRDefault="00E44E78" w:rsidP="00E44E78">
      <w:pPr>
        <w:pStyle w:val="ListParagraph"/>
        <w:numPr>
          <w:ilvl w:val="0"/>
          <w:numId w:val="4"/>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lastRenderedPageBreak/>
        <w:t>Develop and vendor inclusive social and recreational programs that apply person-centered and family-centered practices.</w:t>
      </w:r>
    </w:p>
    <w:p w:rsidR="00E44E78" w:rsidRPr="00A73FDF" w:rsidRDefault="00E44E78" w:rsidP="00E44E78">
      <w:pPr>
        <w:rPr>
          <w:rFonts w:ascii="Arial" w:hAnsi="Arial" w:cs="Arial"/>
        </w:rPr>
      </w:pPr>
    </w:p>
    <w:p w:rsidR="00E44E78" w:rsidRPr="00A73FDF" w:rsidRDefault="00E44E78" w:rsidP="00E44E78">
      <w:pPr>
        <w:pBdr>
          <w:top w:val="nil"/>
          <w:left w:val="nil"/>
          <w:bottom w:val="nil"/>
          <w:right w:val="nil"/>
          <w:between w:val="nil"/>
          <w:bar w:val="nil"/>
        </w:pBdr>
        <w:rPr>
          <w:rFonts w:ascii="Arial" w:hAnsi="Arial" w:cs="Arial"/>
          <w:b/>
          <w:u w:val="single"/>
        </w:rPr>
      </w:pPr>
      <w:r w:rsidRPr="00A73FDF">
        <w:rPr>
          <w:rFonts w:ascii="Arial" w:hAnsi="Arial" w:cs="Arial"/>
          <w:b/>
          <w:u w:val="single"/>
        </w:rPr>
        <w:t>Grant Applicants</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Bdr>
          <w:top w:val="nil"/>
          <w:left w:val="nil"/>
          <w:bottom w:val="nil"/>
          <w:right w:val="nil"/>
          <w:between w:val="nil"/>
          <w:bar w:val="nil"/>
        </w:pBdr>
        <w:jc w:val="both"/>
        <w:rPr>
          <w:rFonts w:ascii="Arial" w:hAnsi="Arial" w:cs="Arial"/>
        </w:rPr>
      </w:pPr>
      <w:r w:rsidRPr="00A73FDF">
        <w:rPr>
          <w:rFonts w:ascii="Arial" w:hAnsi="Arial" w:cs="Arial"/>
        </w:rPr>
        <w:t>Grant applicants may include, but are not limited to:</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Community Based Organizations (CBOs)</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Religious organizations (e.g., churches, synagogues) </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Private recreational businesses or studios (e.g., karate schools, ballet studios, art studios) </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YMCAs, Boys &amp; Girls Clubs, Girl Scouts, Boy Scouts </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County and city parks and recreation entities </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 xml:space="preserve">Public and private camps </w:t>
      </w:r>
    </w:p>
    <w:p w:rsidR="00E44E78" w:rsidRPr="00A73FDF" w:rsidRDefault="00E44E78" w:rsidP="00E44E78">
      <w:pPr>
        <w:pStyle w:val="ListParagraph"/>
        <w:numPr>
          <w:ilvl w:val="0"/>
          <w:numId w:val="5"/>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After-school programs</w:t>
      </w:r>
    </w:p>
    <w:p w:rsidR="00E44E78" w:rsidRPr="00A73FDF" w:rsidRDefault="00E44E78" w:rsidP="00E44E78">
      <w:pPr>
        <w:pStyle w:val="BodyText"/>
        <w:spacing w:before="120" w:after="0"/>
        <w:ind w:left="720"/>
        <w:jc w:val="both"/>
        <w:rPr>
          <w:rFonts w:ascii="Arial" w:hAnsi="Arial" w:cs="Arial"/>
          <w:snapToGrid w:val="0"/>
          <w:szCs w:val="24"/>
        </w:rPr>
      </w:pPr>
    </w:p>
    <w:p w:rsidR="00E44E78" w:rsidRPr="00A73FDF" w:rsidRDefault="00E44E78" w:rsidP="00E44E78">
      <w:pPr>
        <w:pBdr>
          <w:top w:val="nil"/>
          <w:left w:val="nil"/>
          <w:bottom w:val="nil"/>
          <w:right w:val="nil"/>
          <w:between w:val="nil"/>
          <w:bar w:val="nil"/>
        </w:pBdr>
        <w:jc w:val="both"/>
        <w:rPr>
          <w:rFonts w:ascii="Arial" w:hAnsi="Arial" w:cs="Arial"/>
          <w:b/>
          <w:u w:val="single"/>
        </w:rPr>
      </w:pPr>
      <w:r w:rsidRPr="00A73FDF">
        <w:rPr>
          <w:rFonts w:ascii="Arial" w:hAnsi="Arial" w:cs="Arial"/>
          <w:b/>
          <w:u w:val="single"/>
        </w:rPr>
        <w:t>Grant Applicant Proposal Submission Requirements</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Bdr>
          <w:top w:val="nil"/>
          <w:left w:val="nil"/>
          <w:bottom w:val="nil"/>
          <w:right w:val="nil"/>
          <w:between w:val="nil"/>
          <w:bar w:val="nil"/>
        </w:pBdr>
        <w:jc w:val="both"/>
        <w:rPr>
          <w:rFonts w:ascii="Arial" w:hAnsi="Arial" w:cs="Arial"/>
        </w:rPr>
      </w:pPr>
      <w:r w:rsidRPr="00A73FDF">
        <w:rPr>
          <w:rFonts w:ascii="Arial" w:hAnsi="Arial" w:cs="Arial"/>
        </w:rPr>
        <w:t xml:space="preserve">To apply for a social rec grant, each grant applicant must submit a proposal to the RC’s designee, which are listed in the Regional Center Directory (Appendix E). Each proposal will include one or more project type. DDS has developed standard outcome measures for all grant project types. Applicants will be required to identify goals for each standard outcome measure applicable to the grant proposal and report progress towards meeting goals in subsequent quarterly reports, if the grant proposal is approved. RCs will confirm that the goals for the standard outcome measures are appropriate for the scope of the proposal during the application review process. Additional information on this process is provided in Project Types and Standard Outcome Measures (Appendix C). </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Bdr>
          <w:top w:val="nil"/>
          <w:left w:val="nil"/>
          <w:bottom w:val="nil"/>
          <w:right w:val="nil"/>
          <w:between w:val="nil"/>
          <w:bar w:val="nil"/>
        </w:pBdr>
        <w:jc w:val="both"/>
        <w:rPr>
          <w:rFonts w:ascii="Arial" w:hAnsi="Arial" w:cs="Arial"/>
        </w:rPr>
      </w:pPr>
      <w:r w:rsidRPr="00A73FDF">
        <w:rPr>
          <w:rFonts w:ascii="Arial" w:hAnsi="Arial" w:cs="Arial"/>
        </w:rPr>
        <w:t>Each proposal must include the following items:</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Style w:val="ListParagraph"/>
        <w:numPr>
          <w:ilvl w:val="0"/>
          <w:numId w:val="6"/>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Completed Letter of Intent (Appendix A)</w:t>
      </w:r>
    </w:p>
    <w:p w:rsidR="00E44E78" w:rsidRPr="00A73FDF" w:rsidRDefault="00E44E78" w:rsidP="00E44E78">
      <w:pPr>
        <w:pStyle w:val="ListParagraph"/>
        <w:numPr>
          <w:ilvl w:val="0"/>
          <w:numId w:val="6"/>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Grant Budget Form (Appendix B)</w:t>
      </w:r>
    </w:p>
    <w:p w:rsidR="00E44E78" w:rsidRPr="00A73FDF" w:rsidRDefault="00E44E78" w:rsidP="00E44E78">
      <w:pPr>
        <w:pStyle w:val="ListParagraph"/>
        <w:numPr>
          <w:ilvl w:val="0"/>
          <w:numId w:val="6"/>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One or more project type (Appendix C)</w:t>
      </w:r>
    </w:p>
    <w:p w:rsidR="00E44E78" w:rsidRPr="00A73FDF" w:rsidRDefault="00E44E78" w:rsidP="00E44E78">
      <w:pPr>
        <w:pStyle w:val="ListParagraph"/>
        <w:pBdr>
          <w:top w:val="nil"/>
          <w:left w:val="nil"/>
          <w:bottom w:val="nil"/>
          <w:right w:val="nil"/>
          <w:between w:val="nil"/>
          <w:bar w:val="nil"/>
        </w:pBdr>
        <w:jc w:val="both"/>
        <w:rPr>
          <w:rFonts w:ascii="Arial" w:eastAsia="Times New Roman" w:hAnsi="Arial" w:cs="Arial"/>
          <w:lang w:eastAsia="en-US"/>
        </w:rPr>
      </w:pPr>
    </w:p>
    <w:p w:rsidR="00E44E78" w:rsidRPr="00A73FDF" w:rsidRDefault="00E44E78" w:rsidP="00E44E78">
      <w:pPr>
        <w:pBdr>
          <w:top w:val="nil"/>
          <w:left w:val="nil"/>
          <w:bottom w:val="nil"/>
          <w:right w:val="nil"/>
          <w:between w:val="nil"/>
          <w:bar w:val="nil"/>
        </w:pBdr>
        <w:jc w:val="both"/>
        <w:rPr>
          <w:rFonts w:ascii="Arial" w:hAnsi="Arial" w:cs="Arial"/>
          <w:b/>
          <w:u w:val="single"/>
        </w:rPr>
      </w:pPr>
      <w:r w:rsidRPr="00A73FDF">
        <w:rPr>
          <w:rFonts w:ascii="Arial" w:hAnsi="Arial" w:cs="Arial"/>
          <w:b/>
          <w:u w:val="single"/>
        </w:rPr>
        <w:t>Criteria for Funds to be Released to Grantee</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Bdr>
          <w:top w:val="nil"/>
          <w:left w:val="nil"/>
          <w:bottom w:val="nil"/>
          <w:right w:val="nil"/>
          <w:between w:val="nil"/>
          <w:bar w:val="nil"/>
        </w:pBdr>
        <w:jc w:val="both"/>
        <w:rPr>
          <w:rFonts w:ascii="Arial" w:hAnsi="Arial" w:cs="Arial"/>
        </w:rPr>
      </w:pPr>
      <w:r w:rsidRPr="00A73FDF">
        <w:rPr>
          <w:rFonts w:ascii="Arial" w:hAnsi="Arial" w:cs="Arial"/>
        </w:rPr>
        <w:t>The following criteria must be met to release funds to the grantee:</w:t>
      </w:r>
    </w:p>
    <w:p w:rsidR="00E44E78" w:rsidRPr="00A73FDF" w:rsidRDefault="00E44E78" w:rsidP="00E44E78">
      <w:pPr>
        <w:pBdr>
          <w:top w:val="nil"/>
          <w:left w:val="nil"/>
          <w:bottom w:val="nil"/>
          <w:right w:val="nil"/>
          <w:between w:val="nil"/>
          <w:bar w:val="nil"/>
        </w:pBdr>
        <w:jc w:val="both"/>
        <w:rPr>
          <w:rFonts w:ascii="Arial" w:hAnsi="Arial" w:cs="Arial"/>
        </w:rPr>
      </w:pPr>
    </w:p>
    <w:p w:rsidR="00E44E78" w:rsidRPr="00A73FDF" w:rsidRDefault="00E44E78" w:rsidP="00E44E78">
      <w:pPr>
        <w:pBdr>
          <w:top w:val="nil"/>
          <w:left w:val="nil"/>
          <w:bottom w:val="nil"/>
          <w:right w:val="nil"/>
          <w:between w:val="nil"/>
          <w:bar w:val="nil"/>
        </w:pBdr>
        <w:ind w:left="360" w:hanging="360"/>
        <w:jc w:val="both"/>
        <w:rPr>
          <w:rFonts w:ascii="Arial" w:hAnsi="Arial" w:cs="Arial"/>
        </w:rPr>
      </w:pPr>
      <w:r w:rsidRPr="00A73FDF">
        <w:rPr>
          <w:rFonts w:ascii="Arial" w:hAnsi="Arial" w:cs="Arial"/>
        </w:rPr>
        <w:t>1.</w:t>
      </w:r>
      <w:r w:rsidRPr="00A73FDF">
        <w:rPr>
          <w:rFonts w:ascii="Arial" w:hAnsi="Arial" w:cs="Arial"/>
        </w:rPr>
        <w:tab/>
        <w:t xml:space="preserve">An initial payment of 30 percent of the grant amount will be paid after the grant project contract is executed and the grantee submits an invoice to the RC. </w:t>
      </w:r>
    </w:p>
    <w:p w:rsidR="00E44E78" w:rsidRPr="00A73FDF" w:rsidRDefault="00E44E78" w:rsidP="00E44E78">
      <w:pPr>
        <w:pBdr>
          <w:top w:val="nil"/>
          <w:left w:val="nil"/>
          <w:bottom w:val="nil"/>
          <w:right w:val="nil"/>
          <w:between w:val="nil"/>
          <w:bar w:val="nil"/>
        </w:pBdr>
        <w:ind w:left="360" w:hanging="360"/>
        <w:jc w:val="both"/>
        <w:rPr>
          <w:rFonts w:ascii="Arial" w:hAnsi="Arial" w:cs="Arial"/>
        </w:rPr>
      </w:pPr>
      <w:r w:rsidRPr="00A73FDF">
        <w:rPr>
          <w:rFonts w:ascii="Arial" w:hAnsi="Arial" w:cs="Arial"/>
        </w:rPr>
        <w:t>2.</w:t>
      </w:r>
      <w:r w:rsidRPr="00A73FDF">
        <w:rPr>
          <w:rFonts w:ascii="Arial" w:hAnsi="Arial" w:cs="Arial"/>
        </w:rPr>
        <w:tab/>
        <w:t>Subsequent payments of 30 percent of the grant amount will be made after the following conditions are met: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grantee reports the expenditure of at least 60 percent of the funds paid to date or requests an additional payment to ensure the success of the grant project.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RC determines the grantee is meeting deliverables in accordance with the grant project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lastRenderedPageBreak/>
        <w:t>RC determines the expenses in the most recent progress report are appropriate and in accordance with the approved budget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RC approves the most recent progress report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RC approves the invoice that is submitted with the progress report</w:t>
      </w:r>
    </w:p>
    <w:p w:rsidR="00E44E78" w:rsidRPr="00A73FDF" w:rsidRDefault="00E44E78" w:rsidP="00E44E78">
      <w:pPr>
        <w:pStyle w:val="ListParagraph"/>
        <w:numPr>
          <w:ilvl w:val="0"/>
          <w:numId w:val="7"/>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90 percent of the grant amount have not been paid.</w:t>
      </w:r>
    </w:p>
    <w:p w:rsidR="00E44E78" w:rsidRPr="00A73FDF" w:rsidRDefault="00E44E78" w:rsidP="00E44E78">
      <w:pPr>
        <w:pBdr>
          <w:top w:val="nil"/>
          <w:left w:val="nil"/>
          <w:bottom w:val="nil"/>
          <w:right w:val="nil"/>
          <w:between w:val="nil"/>
          <w:bar w:val="nil"/>
        </w:pBdr>
        <w:ind w:left="360" w:hanging="360"/>
        <w:jc w:val="both"/>
        <w:rPr>
          <w:rFonts w:ascii="Arial" w:hAnsi="Arial" w:cs="Arial"/>
        </w:rPr>
      </w:pPr>
      <w:r w:rsidRPr="00A73FDF">
        <w:rPr>
          <w:rFonts w:ascii="Arial" w:hAnsi="Arial" w:cs="Arial"/>
        </w:rPr>
        <w:t>3.</w:t>
      </w:r>
      <w:r w:rsidRPr="00A73FDF">
        <w:rPr>
          <w:rFonts w:ascii="Arial" w:hAnsi="Arial" w:cs="Arial"/>
        </w:rPr>
        <w:tab/>
        <w:t>A final payment of 10 percent of the grant amount will be made after all of the following conditions have been met:</w:t>
      </w:r>
    </w:p>
    <w:p w:rsidR="00E44E78" w:rsidRPr="00A73FDF" w:rsidRDefault="00E44E78" w:rsidP="00E44E78">
      <w:pPr>
        <w:pStyle w:val="ListParagraph"/>
        <w:numPr>
          <w:ilvl w:val="0"/>
          <w:numId w:val="8"/>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grantee submits its final report within 7 days of completion of the project</w:t>
      </w:r>
    </w:p>
    <w:p w:rsidR="00E44E78" w:rsidRPr="00A73FDF" w:rsidRDefault="00E44E78" w:rsidP="00E44E78">
      <w:pPr>
        <w:pStyle w:val="ListParagraph"/>
        <w:numPr>
          <w:ilvl w:val="0"/>
          <w:numId w:val="8"/>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grantee provides a final accounting and reconciliation of funds received and actual grant expenditures and submits its accounting and reconciliation to the RC</w:t>
      </w:r>
    </w:p>
    <w:p w:rsidR="00E44E78" w:rsidRPr="00A73FDF" w:rsidRDefault="00E44E78" w:rsidP="00E44E78">
      <w:pPr>
        <w:pStyle w:val="ListParagraph"/>
        <w:numPr>
          <w:ilvl w:val="0"/>
          <w:numId w:val="8"/>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RC has reconciled grantee’s invoices against its expenses</w:t>
      </w:r>
    </w:p>
    <w:p w:rsidR="00E44E78" w:rsidRPr="00A73FDF" w:rsidRDefault="00E44E78" w:rsidP="00E44E78">
      <w:pPr>
        <w:pStyle w:val="ListParagraph"/>
        <w:numPr>
          <w:ilvl w:val="0"/>
          <w:numId w:val="8"/>
        </w:numPr>
        <w:pBdr>
          <w:top w:val="nil"/>
          <w:left w:val="nil"/>
          <w:bottom w:val="nil"/>
          <w:right w:val="nil"/>
          <w:between w:val="nil"/>
          <w:bar w:val="nil"/>
        </w:pBdr>
        <w:jc w:val="both"/>
        <w:rPr>
          <w:rFonts w:ascii="Arial" w:eastAsia="Times New Roman" w:hAnsi="Arial" w:cs="Arial"/>
          <w:lang w:eastAsia="en-US"/>
        </w:rPr>
      </w:pPr>
      <w:r w:rsidRPr="00A73FDF">
        <w:rPr>
          <w:rFonts w:ascii="Arial" w:eastAsia="Times New Roman" w:hAnsi="Arial" w:cs="Arial"/>
          <w:lang w:eastAsia="en-US"/>
        </w:rPr>
        <w:t>The RC has made a determination that the grantee has satisfactorily completed all the terms and conditions required by the contract, including providing additional information requested by the RC.</w:t>
      </w:r>
    </w:p>
    <w:p w:rsidR="00E44E78" w:rsidRPr="00A73FDF" w:rsidRDefault="00E44E78" w:rsidP="00E44E78">
      <w:pPr>
        <w:pStyle w:val="BodyText"/>
        <w:jc w:val="both"/>
        <w:rPr>
          <w:rFonts w:ascii="Arial" w:hAnsi="Arial" w:cs="Arial"/>
          <w:szCs w:val="24"/>
        </w:rPr>
      </w:pPr>
    </w:p>
    <w:p w:rsidR="00E44E78" w:rsidRPr="00A73FDF" w:rsidRDefault="00E44E78" w:rsidP="00E44E78">
      <w:pPr>
        <w:jc w:val="both"/>
        <w:rPr>
          <w:rFonts w:ascii="Arial" w:hAnsi="Arial" w:cs="Arial"/>
          <w:b/>
          <w:u w:val="single"/>
        </w:rPr>
      </w:pPr>
      <w:r w:rsidRPr="00A73FDF">
        <w:rPr>
          <w:rFonts w:ascii="Arial" w:hAnsi="Arial" w:cs="Arial"/>
          <w:b/>
          <w:u w:val="single"/>
        </w:rPr>
        <w:t>Estimated Service Duration</w:t>
      </w:r>
    </w:p>
    <w:p w:rsidR="00E44E78" w:rsidRPr="00A73FDF" w:rsidRDefault="00E44E78" w:rsidP="00E44E78">
      <w:pPr>
        <w:jc w:val="both"/>
        <w:rPr>
          <w:rFonts w:ascii="Arial" w:hAnsi="Arial" w:cs="Arial"/>
        </w:rPr>
      </w:pPr>
      <w:r w:rsidRPr="00A73FDF">
        <w:rPr>
          <w:rFonts w:ascii="Arial" w:hAnsi="Arial" w:cs="Arial"/>
        </w:rPr>
        <w:t xml:space="preserve">All awarded projects must begin on or before </w:t>
      </w:r>
      <w:r w:rsidRPr="00A73FDF">
        <w:rPr>
          <w:rFonts w:ascii="Arial" w:hAnsi="Arial" w:cs="Arial"/>
          <w:b/>
        </w:rPr>
        <w:t>April 1, 2023</w:t>
      </w:r>
      <w:r w:rsidRPr="00A73FDF">
        <w:rPr>
          <w:rFonts w:ascii="Arial" w:hAnsi="Arial" w:cs="Arial"/>
        </w:rPr>
        <w:t xml:space="preserve">. The grant project completion deadline is </w:t>
      </w:r>
      <w:r w:rsidRPr="00A73FDF">
        <w:rPr>
          <w:rFonts w:ascii="Arial" w:hAnsi="Arial" w:cs="Arial"/>
          <w:b/>
        </w:rPr>
        <w:t>December 1, 2023</w:t>
      </w:r>
      <w:r w:rsidRPr="00A73FDF">
        <w:rPr>
          <w:rFonts w:ascii="Arial" w:hAnsi="Arial" w:cs="Arial"/>
        </w:rPr>
        <w:t>.</w:t>
      </w:r>
    </w:p>
    <w:p w:rsidR="00E44E78" w:rsidRPr="00A73FDF" w:rsidRDefault="00E44E78" w:rsidP="00E44E78">
      <w:pPr>
        <w:jc w:val="both"/>
        <w:rPr>
          <w:rFonts w:ascii="Arial" w:hAnsi="Arial" w:cs="Arial"/>
        </w:rPr>
      </w:pPr>
    </w:p>
    <w:p w:rsidR="00E44E78" w:rsidRPr="00A73FDF" w:rsidRDefault="00E44E78" w:rsidP="00E44E78">
      <w:pPr>
        <w:jc w:val="both"/>
        <w:rPr>
          <w:rFonts w:ascii="Arial" w:hAnsi="Arial" w:cs="Arial"/>
        </w:rPr>
      </w:pPr>
    </w:p>
    <w:p w:rsidR="00E44E78" w:rsidRPr="00A73FDF" w:rsidRDefault="00E44E78" w:rsidP="00E44E78">
      <w:pPr>
        <w:jc w:val="both"/>
        <w:rPr>
          <w:rFonts w:ascii="Arial" w:hAnsi="Arial" w:cs="Arial"/>
          <w:b/>
          <w:u w:val="single"/>
        </w:rPr>
      </w:pPr>
      <w:r w:rsidRPr="00A73FDF">
        <w:rPr>
          <w:rFonts w:ascii="Arial" w:hAnsi="Arial" w:cs="Arial"/>
          <w:b/>
          <w:u w:val="single"/>
        </w:rPr>
        <w:t>Submission Information</w:t>
      </w:r>
    </w:p>
    <w:p w:rsidR="00E44E78" w:rsidRPr="00A73FDF" w:rsidRDefault="00E44E78" w:rsidP="00E44E78">
      <w:pPr>
        <w:rPr>
          <w:rFonts w:ascii="Arial" w:hAnsi="Arial" w:cs="Arial"/>
        </w:rPr>
      </w:pPr>
      <w:r w:rsidRPr="00A73FDF">
        <w:rPr>
          <w:rFonts w:ascii="Arial" w:hAnsi="Arial" w:cs="Arial"/>
        </w:rPr>
        <w:t xml:space="preserve">Proposals must be </w:t>
      </w:r>
      <w:r w:rsidRPr="00A73FDF">
        <w:rPr>
          <w:rFonts w:ascii="Arial" w:hAnsi="Arial" w:cs="Arial"/>
          <w:b/>
        </w:rPr>
        <w:t>emailed</w:t>
      </w:r>
      <w:r w:rsidRPr="00A73FDF">
        <w:rPr>
          <w:rFonts w:ascii="Arial" w:hAnsi="Arial" w:cs="Arial"/>
        </w:rPr>
        <w:t xml:space="preserve"> to </w:t>
      </w:r>
      <w:hyperlink r:id="rId14" w:history="1">
        <w:r w:rsidRPr="00A73FDF">
          <w:rPr>
            <w:rStyle w:val="Hyperlink"/>
            <w:rFonts w:ascii="Arial" w:hAnsi="Arial" w:cs="Arial"/>
          </w:rPr>
          <w:t>cirigoyen@lanterman.org</w:t>
        </w:r>
      </w:hyperlink>
      <w:r w:rsidRPr="00A73FDF">
        <w:rPr>
          <w:rFonts w:ascii="Arial" w:hAnsi="Arial" w:cs="Arial"/>
        </w:rPr>
        <w:t xml:space="preserve"> by </w:t>
      </w:r>
      <w:r w:rsidRPr="00A73FDF">
        <w:rPr>
          <w:rFonts w:ascii="Arial" w:hAnsi="Arial" w:cs="Arial"/>
          <w:b/>
        </w:rPr>
        <w:t>December 28, 2022</w:t>
      </w:r>
      <w:r w:rsidRPr="00A73FDF">
        <w:rPr>
          <w:rFonts w:ascii="Arial" w:hAnsi="Arial" w:cs="Arial"/>
        </w:rPr>
        <w:t xml:space="preserve">. Submissions that are late, mailed, or faxed will not be accepted. </w:t>
      </w:r>
    </w:p>
    <w:p w:rsidR="00E44E78" w:rsidRPr="00A73FDF" w:rsidRDefault="00E44E78" w:rsidP="00E44E78">
      <w:pPr>
        <w:pStyle w:val="Header2RFP"/>
        <w:spacing w:after="120"/>
        <w:rPr>
          <w:rFonts w:cs="Arial"/>
          <w:szCs w:val="24"/>
        </w:rPr>
      </w:pPr>
    </w:p>
    <w:p w:rsidR="00E44E78" w:rsidRPr="00A73FDF" w:rsidRDefault="00E44E78" w:rsidP="00E44E78">
      <w:pPr>
        <w:pStyle w:val="Header2RFP"/>
        <w:spacing w:after="120"/>
        <w:rPr>
          <w:rFonts w:cs="Arial"/>
          <w:szCs w:val="24"/>
        </w:rPr>
      </w:pPr>
      <w:r w:rsidRPr="00A73FDF">
        <w:rPr>
          <w:rFonts w:cs="Arial"/>
          <w:szCs w:val="24"/>
        </w:rPr>
        <w:t>Contact Person</w:t>
      </w:r>
    </w:p>
    <w:p w:rsidR="00E44E78" w:rsidRPr="00A73FDF" w:rsidRDefault="00E44E78" w:rsidP="00E44E78">
      <w:pPr>
        <w:pStyle w:val="BodyTextRFP"/>
        <w:rPr>
          <w:rFonts w:cs="Arial"/>
          <w:szCs w:val="24"/>
        </w:rPr>
      </w:pPr>
      <w:r w:rsidRPr="00A73FDF">
        <w:rPr>
          <w:rFonts w:cs="Arial"/>
          <w:szCs w:val="24"/>
        </w:rPr>
        <w:t>Questions pertaining to submission instructions may be directed to:</w:t>
      </w:r>
    </w:p>
    <w:p w:rsidR="00E44E78" w:rsidRPr="00A73FDF" w:rsidRDefault="00E44E78" w:rsidP="00E44E78">
      <w:pPr>
        <w:pStyle w:val="BodyTextRFP"/>
        <w:spacing w:before="180"/>
        <w:ind w:left="648"/>
        <w:rPr>
          <w:rFonts w:cs="Arial"/>
          <w:szCs w:val="24"/>
        </w:rPr>
      </w:pPr>
      <w:r w:rsidRPr="00A73FDF">
        <w:rPr>
          <w:rFonts w:cs="Arial"/>
          <w:szCs w:val="24"/>
        </w:rPr>
        <w:t>Christian Irigoyen, Resource Developer, 213-252-6012</w:t>
      </w:r>
    </w:p>
    <w:p w:rsidR="00E44E78" w:rsidRPr="00A73FDF" w:rsidRDefault="00E44E78" w:rsidP="00E44E78">
      <w:pPr>
        <w:pStyle w:val="BodyTextRFP"/>
        <w:spacing w:before="180"/>
        <w:ind w:firstLine="648"/>
        <w:rPr>
          <w:rFonts w:cs="Arial"/>
          <w:szCs w:val="24"/>
        </w:rPr>
      </w:pPr>
      <w:r w:rsidRPr="00A73FDF">
        <w:rPr>
          <w:rFonts w:cs="Arial"/>
          <w:szCs w:val="24"/>
        </w:rPr>
        <w:t>Pablo Ibañez, Director Community Services, 213-252-4928</w:t>
      </w:r>
    </w:p>
    <w:p w:rsidR="008758D6" w:rsidRPr="008758D6" w:rsidRDefault="008758D6" w:rsidP="008758D6">
      <w:pPr>
        <w:rPr>
          <w:lang w:eastAsia="en-US"/>
        </w:rPr>
      </w:pPr>
    </w:p>
    <w:p w:rsidR="00E44E78" w:rsidRPr="00A73FDF" w:rsidRDefault="00E44E78" w:rsidP="00E44E78">
      <w:pPr>
        <w:pStyle w:val="Header2RFP"/>
        <w:rPr>
          <w:rFonts w:cs="Arial"/>
          <w:szCs w:val="24"/>
        </w:rPr>
      </w:pPr>
      <w:r w:rsidRPr="00A73FDF">
        <w:rPr>
          <w:rFonts w:cs="Arial"/>
          <w:szCs w:val="24"/>
        </w:rPr>
        <w:t>Timeline</w:t>
      </w:r>
    </w:p>
    <w:p w:rsidR="008758D6" w:rsidRPr="008758D6" w:rsidRDefault="008758D6" w:rsidP="008758D6">
      <w:pPr>
        <w:rPr>
          <w:lang w:eastAsia="en-US"/>
        </w:rPr>
      </w:pPr>
    </w:p>
    <w:tbl>
      <w:tblPr>
        <w:tblW w:w="10188" w:type="dxa"/>
        <w:tblLayout w:type="fixed"/>
        <w:tblLook w:val="0000" w:firstRow="0" w:lastRow="0" w:firstColumn="0" w:lastColumn="0" w:noHBand="0" w:noVBand="0"/>
      </w:tblPr>
      <w:tblGrid>
        <w:gridCol w:w="1059"/>
        <w:gridCol w:w="2829"/>
        <w:gridCol w:w="6300"/>
      </w:tblGrid>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tcBorders>
          </w:tcPr>
          <w:p w:rsidR="00E44E78" w:rsidRPr="00A73FDF" w:rsidRDefault="00E44E78" w:rsidP="00361A5F">
            <w:pPr>
              <w:pStyle w:val="BodyTextRFP"/>
              <w:spacing w:before="180"/>
              <w:jc w:val="left"/>
              <w:rPr>
                <w:rFonts w:cs="Arial"/>
                <w:szCs w:val="24"/>
              </w:rPr>
            </w:pPr>
            <w:r w:rsidRPr="00A73FDF">
              <w:rPr>
                <w:rFonts w:cs="Arial"/>
                <w:szCs w:val="24"/>
              </w:rPr>
              <w:t>December 28, 2022</w:t>
            </w:r>
          </w:p>
        </w:tc>
        <w:tc>
          <w:tcPr>
            <w:tcW w:w="6300" w:type="dxa"/>
          </w:tcPr>
          <w:p w:rsidR="00E44E78" w:rsidRPr="00A73FDF" w:rsidRDefault="00E44E78" w:rsidP="00361A5F">
            <w:pPr>
              <w:pStyle w:val="BodyTextRFP"/>
              <w:spacing w:before="180"/>
              <w:rPr>
                <w:rFonts w:cs="Arial"/>
                <w:szCs w:val="24"/>
              </w:rPr>
            </w:pPr>
            <w:r w:rsidRPr="00A73FDF">
              <w:rPr>
                <w:rFonts w:cs="Arial"/>
                <w:szCs w:val="24"/>
              </w:rPr>
              <w:t>Deadline for receipt of proposals</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January 13,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Evaluation of proposals by Selection Committee</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January 31,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FDLRC submits proposals to DDS</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tcBorders>
          </w:tcPr>
          <w:p w:rsidR="00E44E78" w:rsidRPr="00A73FDF" w:rsidRDefault="00E44E78" w:rsidP="008758D6">
            <w:pPr>
              <w:pStyle w:val="BodyTextRFP"/>
              <w:spacing w:before="180"/>
              <w:rPr>
                <w:rFonts w:cs="Arial"/>
                <w:szCs w:val="24"/>
              </w:rPr>
            </w:pPr>
            <w:r w:rsidRPr="00A73FDF">
              <w:rPr>
                <w:rFonts w:cs="Arial"/>
                <w:szCs w:val="24"/>
              </w:rPr>
              <w:t>February 28,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DDS informs FDLRC of awarded grant projects and final RC funding allocation amounts are confirmed</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bottom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March 31,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Grant contracts due to DDS</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bottom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April 1,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 xml:space="preserve">All awarded projects must begin </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bottom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December 1,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Grant project completion deadline – all reports due to FDLRC</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bottom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December 31, 2023</w:t>
            </w:r>
          </w:p>
        </w:tc>
        <w:tc>
          <w:tcPr>
            <w:tcW w:w="6300" w:type="dxa"/>
          </w:tcPr>
          <w:p w:rsidR="00E44E78" w:rsidRPr="00A73FDF" w:rsidRDefault="00E44E78" w:rsidP="00361A5F">
            <w:pPr>
              <w:pStyle w:val="BodyTextRFP"/>
              <w:spacing w:before="180"/>
              <w:rPr>
                <w:rFonts w:cs="Arial"/>
                <w:szCs w:val="24"/>
              </w:rPr>
            </w:pPr>
            <w:r w:rsidRPr="00A73FDF">
              <w:rPr>
                <w:rFonts w:cs="Arial"/>
                <w:szCs w:val="24"/>
              </w:rPr>
              <w:t>Final RC payments to grantees</w:t>
            </w:r>
          </w:p>
        </w:tc>
      </w:tr>
      <w:tr w:rsidR="00E44E78" w:rsidRPr="00A73FDF" w:rsidTr="00361A5F">
        <w:trPr>
          <w:trHeight w:val="242"/>
        </w:trPr>
        <w:tc>
          <w:tcPr>
            <w:tcW w:w="1059" w:type="dxa"/>
          </w:tcPr>
          <w:p w:rsidR="00E44E78" w:rsidRPr="00A73FDF" w:rsidRDefault="00E44E78" w:rsidP="00E44E78">
            <w:pPr>
              <w:pStyle w:val="Bullets-RFP"/>
              <w:numPr>
                <w:ilvl w:val="0"/>
                <w:numId w:val="34"/>
              </w:numPr>
              <w:spacing w:before="180"/>
              <w:rPr>
                <w:rFonts w:cs="Arial"/>
                <w:szCs w:val="24"/>
              </w:rPr>
            </w:pPr>
          </w:p>
        </w:tc>
        <w:tc>
          <w:tcPr>
            <w:tcW w:w="2829" w:type="dxa"/>
            <w:tcBorders>
              <w:top w:val="single" w:sz="4" w:space="0" w:color="auto"/>
              <w:bottom w:val="single" w:sz="4" w:space="0" w:color="auto"/>
            </w:tcBorders>
          </w:tcPr>
          <w:p w:rsidR="00E44E78" w:rsidRPr="00A73FDF" w:rsidRDefault="00E44E78" w:rsidP="00361A5F">
            <w:pPr>
              <w:pStyle w:val="BodyTextRFP"/>
              <w:spacing w:before="180"/>
              <w:rPr>
                <w:rFonts w:cs="Arial"/>
                <w:szCs w:val="24"/>
              </w:rPr>
            </w:pPr>
            <w:r w:rsidRPr="00A73FDF">
              <w:rPr>
                <w:rFonts w:cs="Arial"/>
                <w:szCs w:val="24"/>
              </w:rPr>
              <w:t>January 31, 2024</w:t>
            </w:r>
          </w:p>
        </w:tc>
        <w:tc>
          <w:tcPr>
            <w:tcW w:w="6300" w:type="dxa"/>
          </w:tcPr>
          <w:p w:rsidR="00E44E78" w:rsidRPr="00A73FDF" w:rsidRDefault="00E44E78" w:rsidP="00361A5F">
            <w:pPr>
              <w:pStyle w:val="BodyTextRFP"/>
              <w:spacing w:before="180"/>
              <w:rPr>
                <w:rFonts w:cs="Arial"/>
                <w:szCs w:val="24"/>
              </w:rPr>
            </w:pPr>
            <w:r w:rsidRPr="00A73FDF">
              <w:rPr>
                <w:rFonts w:cs="Arial"/>
                <w:szCs w:val="24"/>
              </w:rPr>
              <w:t>Final RC billing to DDS</w:t>
            </w:r>
          </w:p>
        </w:tc>
      </w:tr>
    </w:tbl>
    <w:p w:rsidR="00BF4039" w:rsidRPr="00A73FDF" w:rsidRDefault="00BF4039" w:rsidP="00BB545E">
      <w:pPr>
        <w:jc w:val="both"/>
        <w:rPr>
          <w:rFonts w:ascii="Arial" w:hAnsi="Arial" w:cs="Arial"/>
          <w:u w:val="single"/>
        </w:rPr>
      </w:pPr>
    </w:p>
    <w:p w:rsidR="00E44E78" w:rsidRPr="00A73FDF" w:rsidRDefault="00E44E78" w:rsidP="00BB545E">
      <w:pPr>
        <w:jc w:val="both"/>
        <w:rPr>
          <w:rFonts w:ascii="Arial" w:hAnsi="Arial" w:cs="Arial"/>
          <w:u w:val="single"/>
        </w:rPr>
      </w:pPr>
    </w:p>
    <w:p w:rsidR="00E44E78" w:rsidRPr="008758D6" w:rsidRDefault="00E44E78" w:rsidP="00BB545E">
      <w:pPr>
        <w:jc w:val="both"/>
        <w:rPr>
          <w:rFonts w:ascii="Arial" w:hAnsi="Arial" w:cs="Arial"/>
          <w:lang w:eastAsia="en-US"/>
        </w:rPr>
      </w:pPr>
    </w:p>
    <w:p w:rsidR="008758D6" w:rsidRPr="008758D6" w:rsidRDefault="008758D6" w:rsidP="008758D6">
      <w:pPr>
        <w:jc w:val="both"/>
        <w:rPr>
          <w:rFonts w:ascii="Arial" w:hAnsi="Arial" w:cs="Arial"/>
          <w:lang w:eastAsia="en-US"/>
        </w:rPr>
      </w:pPr>
      <w:r w:rsidRPr="008758D6">
        <w:rPr>
          <w:rFonts w:ascii="Arial" w:hAnsi="Arial" w:cs="Arial"/>
          <w:lang w:eastAsia="en-US"/>
        </w:rPr>
        <w:t>Proposal Requirements and Submission Information (Ctrl + Click to Follow Link)</w:t>
      </w:r>
    </w:p>
    <w:p w:rsidR="008758D6" w:rsidRPr="003C3F9F" w:rsidRDefault="008758D6" w:rsidP="008758D6">
      <w:pPr>
        <w:numPr>
          <w:ilvl w:val="0"/>
          <w:numId w:val="2"/>
        </w:numPr>
        <w:jc w:val="both"/>
      </w:pPr>
      <w:r w:rsidRPr="003C3F9F">
        <w:t xml:space="preserve">Appendix A - </w:t>
      </w:r>
      <w:hyperlink r:id="rId15" w:history="1">
        <w:r w:rsidRPr="003C3F9F">
          <w:rPr>
            <w:rStyle w:val="Hyperlink"/>
          </w:rPr>
          <w:t>Letter of Intent Application</w:t>
        </w:r>
      </w:hyperlink>
    </w:p>
    <w:p w:rsidR="008758D6" w:rsidRPr="003C3F9F" w:rsidRDefault="008758D6" w:rsidP="008758D6">
      <w:pPr>
        <w:numPr>
          <w:ilvl w:val="0"/>
          <w:numId w:val="2"/>
        </w:numPr>
        <w:jc w:val="both"/>
      </w:pPr>
      <w:r w:rsidRPr="003C3F9F">
        <w:t xml:space="preserve">Appendix B - </w:t>
      </w:r>
      <w:hyperlink r:id="rId16" w:history="1">
        <w:r w:rsidRPr="003C3F9F">
          <w:rPr>
            <w:rStyle w:val="Hyperlink"/>
          </w:rPr>
          <w:t>Grant Budget Form</w:t>
        </w:r>
      </w:hyperlink>
    </w:p>
    <w:p w:rsidR="008758D6" w:rsidRPr="003C3F9F" w:rsidRDefault="008758D6" w:rsidP="008758D6">
      <w:pPr>
        <w:numPr>
          <w:ilvl w:val="0"/>
          <w:numId w:val="2"/>
        </w:numPr>
        <w:jc w:val="both"/>
      </w:pPr>
      <w:r w:rsidRPr="003C3F9F">
        <w:t xml:space="preserve">Appendix C - </w:t>
      </w:r>
      <w:hyperlink r:id="rId17" w:history="1">
        <w:r w:rsidRPr="003C3F9F">
          <w:rPr>
            <w:rStyle w:val="Hyperlink"/>
          </w:rPr>
          <w:t>Project Types and Standard Outcome Measures</w:t>
        </w:r>
      </w:hyperlink>
    </w:p>
    <w:p w:rsidR="008758D6" w:rsidRPr="003C3F9F" w:rsidRDefault="008758D6" w:rsidP="008758D6">
      <w:pPr>
        <w:numPr>
          <w:ilvl w:val="0"/>
          <w:numId w:val="2"/>
        </w:numPr>
        <w:jc w:val="both"/>
      </w:pPr>
      <w:r w:rsidRPr="003C3F9F">
        <w:t xml:space="preserve">Appendix D - </w:t>
      </w:r>
      <w:hyperlink r:id="rId18" w:history="1">
        <w:r w:rsidRPr="003C3F9F">
          <w:rPr>
            <w:rStyle w:val="Hyperlink"/>
          </w:rPr>
          <w:t>Definition of Key Terms</w:t>
        </w:r>
      </w:hyperlink>
    </w:p>
    <w:p w:rsidR="008758D6" w:rsidRPr="003C3F9F" w:rsidRDefault="008758D6" w:rsidP="008758D6">
      <w:pPr>
        <w:numPr>
          <w:ilvl w:val="0"/>
          <w:numId w:val="2"/>
        </w:numPr>
        <w:jc w:val="both"/>
        <w:rPr>
          <w:color w:val="000000"/>
          <w:szCs w:val="23"/>
          <w:lang w:bidi="en-US"/>
        </w:rPr>
      </w:pPr>
      <w:r w:rsidRPr="003C3F9F">
        <w:t xml:space="preserve">Appendix E - </w:t>
      </w:r>
      <w:hyperlink r:id="rId19" w:history="1">
        <w:r w:rsidRPr="003C3F9F">
          <w:rPr>
            <w:rStyle w:val="Hyperlink"/>
          </w:rPr>
          <w:t>Regional Center Directory</w:t>
        </w:r>
      </w:hyperlink>
    </w:p>
    <w:p w:rsidR="00E44E78" w:rsidRPr="00A73FDF" w:rsidRDefault="00E44E78" w:rsidP="00BB545E">
      <w:pPr>
        <w:jc w:val="both"/>
        <w:rPr>
          <w:rFonts w:ascii="Arial" w:hAnsi="Arial" w:cs="Arial"/>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E44E78" w:rsidRDefault="00E44E78" w:rsidP="00BB545E">
      <w:pPr>
        <w:jc w:val="both"/>
        <w:rPr>
          <w:u w:val="single"/>
        </w:rPr>
      </w:pPr>
    </w:p>
    <w:p w:rsidR="008758D6" w:rsidRDefault="008758D6" w:rsidP="00BB545E">
      <w:pPr>
        <w:jc w:val="both"/>
        <w:rPr>
          <w:u w:val="single"/>
        </w:rPr>
      </w:pPr>
    </w:p>
    <w:p w:rsidR="005C6DF6" w:rsidRDefault="005C6DF6" w:rsidP="00BB545E">
      <w:pPr>
        <w:jc w:val="both"/>
        <w:rPr>
          <w:u w:val="single"/>
        </w:rPr>
      </w:pPr>
    </w:p>
    <w:p w:rsidR="005C6DF6" w:rsidRDefault="005C6DF6" w:rsidP="00BB545E">
      <w:pPr>
        <w:jc w:val="both"/>
        <w:rPr>
          <w:u w:val="single"/>
        </w:rPr>
      </w:pPr>
    </w:p>
    <w:p w:rsidR="005C6DF6" w:rsidRDefault="005C6DF6" w:rsidP="00BB545E">
      <w:pPr>
        <w:jc w:val="both"/>
        <w:rPr>
          <w:u w:val="single"/>
        </w:rPr>
      </w:pPr>
    </w:p>
    <w:p w:rsidR="008758D6" w:rsidRDefault="008758D6" w:rsidP="00BB545E">
      <w:pPr>
        <w:jc w:val="both"/>
        <w:rPr>
          <w:u w:val="single"/>
        </w:rPr>
      </w:pPr>
    </w:p>
    <w:p w:rsidR="008758D6" w:rsidRDefault="008758D6" w:rsidP="00BB545E">
      <w:pPr>
        <w:jc w:val="both"/>
        <w:rPr>
          <w:u w:val="single"/>
        </w:rPr>
      </w:pPr>
    </w:p>
    <w:p w:rsidR="00817CC0" w:rsidRPr="005C6DF6" w:rsidRDefault="00A554A5" w:rsidP="00BB545E">
      <w:pPr>
        <w:jc w:val="both"/>
        <w:rPr>
          <w:b/>
          <w:bCs/>
          <w:color w:val="000000"/>
          <w:lang w:bidi="en-US"/>
        </w:rPr>
      </w:pPr>
      <w:r w:rsidRPr="005C6DF6">
        <w:rPr>
          <w:b/>
          <w:bCs/>
          <w:color w:val="000000"/>
          <w:lang w:bidi="en-US"/>
        </w:rPr>
        <w:lastRenderedPageBreak/>
        <w:t>Appendix A</w:t>
      </w:r>
      <w:r w:rsidR="00817CC0" w:rsidRPr="005C6DF6">
        <w:rPr>
          <w:b/>
          <w:bCs/>
          <w:color w:val="000000"/>
          <w:lang w:bidi="en-US"/>
        </w:rPr>
        <w:t xml:space="preserve">- Link to Fill Out </w:t>
      </w:r>
      <w:r w:rsidR="003D75A1" w:rsidRPr="005C6DF6">
        <w:rPr>
          <w:b/>
          <w:bCs/>
          <w:color w:val="000000"/>
          <w:lang w:bidi="en-US"/>
        </w:rPr>
        <w:t>Application:</w:t>
      </w:r>
      <w:r w:rsidR="00817CC0" w:rsidRPr="005C6DF6">
        <w:t xml:space="preserve"> </w:t>
      </w:r>
      <w:hyperlink r:id="rId20" w:history="1">
        <w:r w:rsidR="00817CC0" w:rsidRPr="005C6DF6">
          <w:rPr>
            <w:rStyle w:val="Hyperlink"/>
          </w:rPr>
          <w:t>Letter of Intent Application</w:t>
        </w:r>
      </w:hyperlink>
    </w:p>
    <w:p w:rsidR="003F684A" w:rsidRPr="003C3F9F" w:rsidRDefault="00A554A5">
      <w:pPr>
        <w:spacing w:after="160" w:line="259" w:lineRule="auto"/>
      </w:pPr>
      <w:r w:rsidRPr="003C3F9F">
        <w:rPr>
          <w:noProof/>
          <w:lang w:eastAsia="en-US"/>
        </w:rPr>
        <w:drawing>
          <wp:inline distT="0" distB="0" distL="0" distR="0" wp14:anchorId="15C97187" wp14:editId="171BCFD3">
            <wp:extent cx="6019953" cy="7845662"/>
            <wp:effectExtent l="0" t="0" r="0" b="317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1"/>
                    <a:stretch>
                      <a:fillRect/>
                    </a:stretch>
                  </pic:blipFill>
                  <pic:spPr>
                    <a:xfrm>
                      <a:off x="0" y="0"/>
                      <a:ext cx="6125084" cy="7982677"/>
                    </a:xfrm>
                    <a:prstGeom prst="rect">
                      <a:avLst/>
                    </a:prstGeom>
                  </pic:spPr>
                </pic:pic>
              </a:graphicData>
            </a:graphic>
          </wp:inline>
        </w:drawing>
      </w:r>
    </w:p>
    <w:p w:rsidR="003D75A1" w:rsidRPr="005C6DF6" w:rsidRDefault="00817CC0" w:rsidP="005C6DF6">
      <w:pPr>
        <w:spacing w:after="160" w:line="259" w:lineRule="auto"/>
        <w:rPr>
          <w:b/>
        </w:rPr>
      </w:pPr>
      <w:r w:rsidRPr="005C6DF6">
        <w:rPr>
          <w:b/>
        </w:rPr>
        <w:lastRenderedPageBreak/>
        <w:t>Appendix A</w:t>
      </w:r>
      <w:r w:rsidR="00166EFB" w:rsidRPr="005C6DF6">
        <w:rPr>
          <w:b/>
        </w:rPr>
        <w:t xml:space="preserve"> (Cont.)</w:t>
      </w:r>
      <w:r w:rsidR="005C6DF6" w:rsidRPr="005C6DF6">
        <w:rPr>
          <w:noProof/>
        </w:rPr>
        <w:t xml:space="preserve"> </w:t>
      </w:r>
      <w:r w:rsidR="005C6DF6" w:rsidRPr="003C3F9F">
        <w:rPr>
          <w:noProof/>
          <w:lang w:eastAsia="en-US"/>
        </w:rPr>
        <w:drawing>
          <wp:inline distT="0" distB="0" distL="0" distR="0" wp14:anchorId="45304E02" wp14:editId="692D76CB">
            <wp:extent cx="6178412" cy="7959038"/>
            <wp:effectExtent l="0" t="0" r="0" b="444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22"/>
                    <a:stretch>
                      <a:fillRect/>
                    </a:stretch>
                  </pic:blipFill>
                  <pic:spPr>
                    <a:xfrm>
                      <a:off x="0" y="0"/>
                      <a:ext cx="6231520" cy="8027452"/>
                    </a:xfrm>
                    <a:prstGeom prst="rect">
                      <a:avLst/>
                    </a:prstGeom>
                  </pic:spPr>
                </pic:pic>
              </a:graphicData>
            </a:graphic>
          </wp:inline>
        </w:drawing>
      </w:r>
      <w:r w:rsidRPr="005C6DF6">
        <w:rPr>
          <w:b/>
        </w:rPr>
        <w:lastRenderedPageBreak/>
        <w:t>Appendix A</w:t>
      </w:r>
      <w:r w:rsidR="00166EFB" w:rsidRPr="005C6DF6">
        <w:rPr>
          <w:b/>
        </w:rPr>
        <w:t xml:space="preserve"> (Cont.)</w:t>
      </w:r>
      <w:r w:rsidR="005C6DF6" w:rsidRPr="005C6DF6">
        <w:rPr>
          <w:noProof/>
        </w:rPr>
        <w:t xml:space="preserve"> </w:t>
      </w:r>
      <w:r w:rsidR="005C6DF6" w:rsidRPr="003C3F9F">
        <w:rPr>
          <w:noProof/>
          <w:lang w:eastAsia="en-US"/>
        </w:rPr>
        <w:drawing>
          <wp:inline distT="0" distB="0" distL="0" distR="0" wp14:anchorId="6A5993D4" wp14:editId="098917FE">
            <wp:extent cx="6176163" cy="7966531"/>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3"/>
                    <a:stretch>
                      <a:fillRect/>
                    </a:stretch>
                  </pic:blipFill>
                  <pic:spPr>
                    <a:xfrm>
                      <a:off x="0" y="0"/>
                      <a:ext cx="6222814" cy="8026705"/>
                    </a:xfrm>
                    <a:prstGeom prst="rect">
                      <a:avLst/>
                    </a:prstGeom>
                  </pic:spPr>
                </pic:pic>
              </a:graphicData>
            </a:graphic>
          </wp:inline>
        </w:drawing>
      </w:r>
      <w:r w:rsidRPr="003C3F9F">
        <w:rPr>
          <w:b/>
          <w:sz w:val="28"/>
          <w:szCs w:val="28"/>
        </w:rPr>
        <w:lastRenderedPageBreak/>
        <w:t>Appendix A</w:t>
      </w:r>
      <w:r w:rsidR="00166EFB">
        <w:rPr>
          <w:b/>
          <w:sz w:val="28"/>
          <w:szCs w:val="28"/>
        </w:rPr>
        <w:t xml:space="preserve"> (Cont.)</w:t>
      </w:r>
      <w:r w:rsidR="005C6DF6" w:rsidRPr="005C6DF6">
        <w:rPr>
          <w:noProof/>
        </w:rPr>
        <w:t xml:space="preserve"> </w:t>
      </w:r>
      <w:r w:rsidR="005C6DF6" w:rsidRPr="003C3F9F">
        <w:rPr>
          <w:noProof/>
          <w:lang w:eastAsia="en-US"/>
        </w:rPr>
        <w:drawing>
          <wp:inline distT="0" distB="0" distL="0" distR="0" wp14:anchorId="05457A7A" wp14:editId="557845A1">
            <wp:extent cx="6053714" cy="7871009"/>
            <wp:effectExtent l="0" t="0" r="4445"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4"/>
                    <a:stretch>
                      <a:fillRect/>
                    </a:stretch>
                  </pic:blipFill>
                  <pic:spPr>
                    <a:xfrm>
                      <a:off x="0" y="0"/>
                      <a:ext cx="6087511" cy="7914952"/>
                    </a:xfrm>
                    <a:prstGeom prst="rect">
                      <a:avLst/>
                    </a:prstGeom>
                  </pic:spPr>
                </pic:pic>
              </a:graphicData>
            </a:graphic>
          </wp:inline>
        </w:drawing>
      </w:r>
      <w:r w:rsidR="003D75A1" w:rsidRPr="005C6DF6">
        <w:rPr>
          <w:b/>
        </w:rPr>
        <w:lastRenderedPageBreak/>
        <w:t>Appendix B</w:t>
      </w:r>
      <w:r w:rsidR="00734D19" w:rsidRPr="005C6DF6">
        <w:rPr>
          <w:b/>
        </w:rPr>
        <w:t>-</w:t>
      </w:r>
      <w:r w:rsidR="003D75A1" w:rsidRPr="005C6DF6">
        <w:rPr>
          <w:b/>
          <w:bCs/>
          <w:color w:val="000000"/>
          <w:lang w:bidi="en-US"/>
        </w:rPr>
        <w:t xml:space="preserve">Link to Fill Out </w:t>
      </w:r>
      <w:r w:rsidR="00EA30D0" w:rsidRPr="005C6DF6">
        <w:rPr>
          <w:b/>
          <w:bCs/>
          <w:color w:val="000000"/>
          <w:lang w:bidi="en-US"/>
        </w:rPr>
        <w:t>Budget Form</w:t>
      </w:r>
      <w:r w:rsidR="003D75A1" w:rsidRPr="005C6DF6">
        <w:rPr>
          <w:b/>
          <w:bCs/>
          <w:color w:val="000000"/>
          <w:lang w:bidi="en-US"/>
        </w:rPr>
        <w:t>:</w:t>
      </w:r>
      <w:r w:rsidR="00EA30D0" w:rsidRPr="005C6DF6">
        <w:t xml:space="preserve"> </w:t>
      </w:r>
      <w:hyperlink r:id="rId25" w:history="1">
        <w:r w:rsidR="00EA30D0" w:rsidRPr="005C6DF6">
          <w:rPr>
            <w:rStyle w:val="Hyperlink"/>
          </w:rPr>
          <w:t>Grant Budget Form</w:t>
        </w:r>
      </w:hyperlink>
    </w:p>
    <w:p w:rsidR="003D75A1" w:rsidRPr="003C3F9F" w:rsidRDefault="003D75A1" w:rsidP="003D75A1">
      <w:pPr>
        <w:spacing w:after="160" w:line="259" w:lineRule="auto"/>
        <w:rPr>
          <w:b/>
          <w:sz w:val="28"/>
          <w:szCs w:val="28"/>
        </w:rPr>
      </w:pPr>
      <w:r w:rsidRPr="003C3F9F">
        <w:rPr>
          <w:noProof/>
          <w:lang w:eastAsia="en-US"/>
        </w:rPr>
        <w:drawing>
          <wp:inline distT="0" distB="0" distL="0" distR="0" wp14:anchorId="1EB9567D" wp14:editId="185BD3BE">
            <wp:extent cx="6365448" cy="2880284"/>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6"/>
                    <a:stretch>
                      <a:fillRect/>
                    </a:stretch>
                  </pic:blipFill>
                  <pic:spPr>
                    <a:xfrm>
                      <a:off x="0" y="0"/>
                      <a:ext cx="6421741" cy="2905756"/>
                    </a:xfrm>
                    <a:prstGeom prst="rect">
                      <a:avLst/>
                    </a:prstGeom>
                  </pic:spPr>
                </pic:pic>
              </a:graphicData>
            </a:graphic>
          </wp:inline>
        </w:drawing>
      </w:r>
    </w:p>
    <w:p w:rsidR="005C6DF6" w:rsidRDefault="005C6DF6" w:rsidP="005C6DF6">
      <w:pPr>
        <w:spacing w:after="160" w:line="259" w:lineRule="auto"/>
        <w:rPr>
          <w:b/>
          <w:sz w:val="28"/>
          <w:szCs w:val="28"/>
        </w:rPr>
      </w:pPr>
      <w:r w:rsidRPr="003C3F9F">
        <w:rPr>
          <w:noProof/>
          <w:lang w:eastAsia="en-US"/>
        </w:rPr>
        <w:drawing>
          <wp:inline distT="0" distB="0" distL="0" distR="0" wp14:anchorId="698AE674" wp14:editId="10B7D00D">
            <wp:extent cx="6400800" cy="2198404"/>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27"/>
                    <a:stretch>
                      <a:fillRect/>
                    </a:stretch>
                  </pic:blipFill>
                  <pic:spPr>
                    <a:xfrm>
                      <a:off x="0" y="0"/>
                      <a:ext cx="6400800" cy="2198404"/>
                    </a:xfrm>
                    <a:prstGeom prst="rect">
                      <a:avLst/>
                    </a:prstGeom>
                  </pic:spPr>
                </pic:pic>
              </a:graphicData>
            </a:graphic>
          </wp:inline>
        </w:drawing>
      </w:r>
      <w:r w:rsidR="003D75A1" w:rsidRPr="003C3F9F">
        <w:rPr>
          <w:noProof/>
          <w:lang w:eastAsia="en-US"/>
        </w:rPr>
        <w:drawing>
          <wp:inline distT="0" distB="0" distL="0" distR="0" wp14:anchorId="40D2C130" wp14:editId="2C53FF7B">
            <wp:extent cx="6447010" cy="2710460"/>
            <wp:effectExtent l="0" t="0" r="0" b="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28"/>
                    <a:stretch>
                      <a:fillRect/>
                    </a:stretch>
                  </pic:blipFill>
                  <pic:spPr>
                    <a:xfrm>
                      <a:off x="0" y="0"/>
                      <a:ext cx="6490787" cy="2728865"/>
                    </a:xfrm>
                    <a:prstGeom prst="rect">
                      <a:avLst/>
                    </a:prstGeom>
                  </pic:spPr>
                </pic:pic>
              </a:graphicData>
            </a:graphic>
          </wp:inline>
        </w:drawing>
      </w:r>
    </w:p>
    <w:p w:rsidR="004365AA" w:rsidRPr="005C6DF6" w:rsidRDefault="00EA30D0" w:rsidP="00EA30D0">
      <w:pPr>
        <w:spacing w:after="160" w:line="259" w:lineRule="auto"/>
        <w:rPr>
          <w:b/>
        </w:rPr>
      </w:pPr>
      <w:r w:rsidRPr="005C6DF6">
        <w:rPr>
          <w:b/>
        </w:rPr>
        <w:lastRenderedPageBreak/>
        <w:t>Appendix C</w:t>
      </w:r>
      <w:r w:rsidR="005C6DF6">
        <w:rPr>
          <w:b/>
        </w:rPr>
        <w:t xml:space="preserve"> </w:t>
      </w:r>
      <w:r w:rsidR="00734D19" w:rsidRPr="005C6DF6">
        <w:rPr>
          <w:b/>
        </w:rPr>
        <w:t>-</w:t>
      </w:r>
      <w:r w:rsidR="005C6DF6">
        <w:rPr>
          <w:b/>
        </w:rPr>
        <w:t xml:space="preserve"> </w:t>
      </w:r>
      <w:r w:rsidRPr="005C6DF6">
        <w:rPr>
          <w:b/>
          <w:bCs/>
          <w:color w:val="000000"/>
          <w:lang w:bidi="en-US"/>
        </w:rPr>
        <w:t>Link to Form:</w:t>
      </w:r>
      <w:r w:rsidRPr="005C6DF6">
        <w:t xml:space="preserve"> </w:t>
      </w:r>
      <w:hyperlink r:id="rId29" w:history="1">
        <w:r w:rsidRPr="005C6DF6">
          <w:rPr>
            <w:rStyle w:val="Hyperlink"/>
          </w:rPr>
          <w:t>Project Types and Standard Outcome Measures</w:t>
        </w:r>
      </w:hyperlink>
    </w:p>
    <w:p w:rsidR="00EA30D0" w:rsidRPr="003C3F9F" w:rsidRDefault="00EA30D0" w:rsidP="00EA30D0">
      <w:pPr>
        <w:spacing w:line="259" w:lineRule="auto"/>
        <w:jc w:val="center"/>
        <w:rPr>
          <w:b/>
          <w:sz w:val="28"/>
          <w:szCs w:val="28"/>
        </w:rPr>
      </w:pPr>
      <w:r w:rsidRPr="003C3F9F">
        <w:rPr>
          <w:b/>
          <w:sz w:val="28"/>
          <w:szCs w:val="28"/>
        </w:rPr>
        <w:t>Project Types and Standard Outcome Measures</w:t>
      </w:r>
    </w:p>
    <w:p w:rsidR="00EA30D0" w:rsidRPr="003C3F9F" w:rsidRDefault="00EA30D0" w:rsidP="00EA30D0">
      <w:pPr>
        <w:spacing w:line="259" w:lineRule="auto"/>
        <w:jc w:val="center"/>
        <w:rPr>
          <w:b/>
        </w:rPr>
      </w:pPr>
      <w:r w:rsidRPr="003C3F9F">
        <w:rPr>
          <w:b/>
          <w:noProof/>
          <w:lang w:eastAsia="en-US"/>
        </w:rPr>
        <mc:AlternateContent>
          <mc:Choice Requires="wps">
            <w:drawing>
              <wp:anchor distT="0" distB="0" distL="114300" distR="114300" simplePos="0" relativeHeight="251659264" behindDoc="0" locked="0" layoutInCell="1" allowOverlap="1" wp14:anchorId="1FD04F8D" wp14:editId="6288755D">
                <wp:simplePos x="0" y="0"/>
                <wp:positionH relativeFrom="column">
                  <wp:posOffset>15240</wp:posOffset>
                </wp:positionH>
                <wp:positionV relativeFrom="paragraph">
                  <wp:posOffset>67945</wp:posOffset>
                </wp:positionV>
                <wp:extent cx="657606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D24D1"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5.35pt" to="51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wE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" strokecolor="black [3200]" strokeweight=".5pt">
                <v:stroke joinstyle="miter"/>
              </v:line>
            </w:pict>
          </mc:Fallback>
        </mc:AlternateContent>
      </w:r>
    </w:p>
    <w:p w:rsidR="00EA30D0" w:rsidRPr="003C3F9F" w:rsidRDefault="00EA30D0" w:rsidP="004365AA">
      <w:pPr>
        <w:spacing w:line="259" w:lineRule="auto"/>
        <w:jc w:val="both"/>
        <w:rPr>
          <w:bCs/>
        </w:rPr>
      </w:pPr>
      <w:r w:rsidRPr="003C3F9F">
        <w:rPr>
          <w:bCs/>
        </w:rPr>
        <w:t>The Department of Developmental Services created eight different project types that describe</w:t>
      </w:r>
      <w:r w:rsidR="004365AA">
        <w:rPr>
          <w:bCs/>
        </w:rPr>
        <w:t xml:space="preserve"> </w:t>
      </w:r>
      <w:r w:rsidRPr="003C3F9F">
        <w:rPr>
          <w:bCs/>
        </w:rPr>
        <w:t>broad categories of projects associated with the grants for enhanced community integration for</w:t>
      </w:r>
      <w:r w:rsidR="004365AA">
        <w:rPr>
          <w:bCs/>
        </w:rPr>
        <w:t xml:space="preserve"> </w:t>
      </w:r>
      <w:r w:rsidRPr="003C3F9F">
        <w:rPr>
          <w:bCs/>
        </w:rPr>
        <w:t>children and adolescents (social rec</w:t>
      </w:r>
      <w:r w:rsidR="004365AA">
        <w:rPr>
          <w:bCs/>
        </w:rPr>
        <w:t>.</w:t>
      </w:r>
      <w:r w:rsidRPr="003C3F9F">
        <w:rPr>
          <w:bCs/>
        </w:rPr>
        <w:t xml:space="preserve"> grants). Standard outcome measures have been</w:t>
      </w:r>
      <w:r w:rsidR="004365AA">
        <w:rPr>
          <w:bCs/>
        </w:rPr>
        <w:t xml:space="preserve"> </w:t>
      </w:r>
      <w:r w:rsidRPr="003C3F9F">
        <w:rPr>
          <w:bCs/>
        </w:rPr>
        <w:t>developed for each project type.</w:t>
      </w:r>
    </w:p>
    <w:p w:rsidR="00EA30D0" w:rsidRPr="003C3F9F" w:rsidRDefault="00EA30D0" w:rsidP="004365AA">
      <w:pPr>
        <w:spacing w:line="259" w:lineRule="auto"/>
        <w:jc w:val="both"/>
        <w:rPr>
          <w:bCs/>
        </w:rPr>
      </w:pPr>
    </w:p>
    <w:p w:rsidR="00EA30D0" w:rsidRPr="003C3F9F" w:rsidRDefault="00EA30D0" w:rsidP="004365AA">
      <w:pPr>
        <w:spacing w:line="259" w:lineRule="auto"/>
        <w:jc w:val="both"/>
        <w:rPr>
          <w:bCs/>
        </w:rPr>
      </w:pPr>
      <w:r w:rsidRPr="003C3F9F">
        <w:rPr>
          <w:bCs/>
        </w:rPr>
        <w:t>Standard Outcome Measures for All Grant Projects except</w:t>
      </w:r>
      <w:r w:rsidR="00635374" w:rsidRPr="003C3F9F">
        <w:rPr>
          <w:bCs/>
        </w:rPr>
        <w:t xml:space="preserve"> </w:t>
      </w:r>
      <w:r w:rsidRPr="003C3F9F">
        <w:rPr>
          <w:bCs/>
        </w:rPr>
        <w:t>Vendorization Assistance:</w:t>
      </w:r>
    </w:p>
    <w:p w:rsidR="00EA30D0" w:rsidRPr="003C3F9F" w:rsidRDefault="00EA30D0" w:rsidP="004365AA">
      <w:pPr>
        <w:spacing w:line="259" w:lineRule="auto"/>
        <w:jc w:val="both"/>
        <w:rPr>
          <w:bCs/>
        </w:rPr>
      </w:pPr>
      <w:r w:rsidRPr="003C3F9F">
        <w:rPr>
          <w:bCs/>
        </w:rPr>
        <w:t>Grantees will be required to report data for the</w:t>
      </w:r>
      <w:r w:rsidR="00635374" w:rsidRPr="003C3F9F">
        <w:rPr>
          <w:bCs/>
        </w:rPr>
        <w:t xml:space="preserve"> </w:t>
      </w:r>
      <w:r w:rsidRPr="003C3F9F">
        <w:rPr>
          <w:bCs/>
        </w:rPr>
        <w:t>8-month grant project term. The following standard outcome</w:t>
      </w:r>
      <w:r w:rsidR="004365AA">
        <w:rPr>
          <w:bCs/>
        </w:rPr>
        <w:t xml:space="preserve"> </w:t>
      </w:r>
      <w:r w:rsidRPr="003C3F9F">
        <w:rPr>
          <w:bCs/>
        </w:rPr>
        <w:t>measures have been developed for all grant projects</w:t>
      </w:r>
      <w:r w:rsidR="00635374" w:rsidRPr="003C3F9F">
        <w:rPr>
          <w:bCs/>
        </w:rPr>
        <w:t xml:space="preserve"> </w:t>
      </w:r>
      <w:r w:rsidRPr="003C3F9F">
        <w:rPr>
          <w:bCs/>
        </w:rPr>
        <w:t>except Vendorization Assistant, regardless of grant amount.</w:t>
      </w:r>
    </w:p>
    <w:p w:rsidR="00EA30D0" w:rsidRPr="00FD197D" w:rsidRDefault="00EA30D0" w:rsidP="00FD197D">
      <w:pPr>
        <w:pStyle w:val="ListParagraph"/>
        <w:numPr>
          <w:ilvl w:val="0"/>
          <w:numId w:val="31"/>
        </w:numPr>
        <w:spacing w:line="259" w:lineRule="auto"/>
        <w:ind w:left="720"/>
        <w:jc w:val="both"/>
        <w:rPr>
          <w:bCs/>
        </w:rPr>
      </w:pPr>
      <w:r w:rsidRPr="004365AA">
        <w:rPr>
          <w:bCs/>
        </w:rPr>
        <w:t>Number of individuals that are directly served by the</w:t>
      </w:r>
      <w:r w:rsidR="004365AA">
        <w:rPr>
          <w:bCs/>
        </w:rPr>
        <w:t xml:space="preserve"> </w:t>
      </w:r>
      <w:r w:rsidRPr="004365AA">
        <w:rPr>
          <w:bCs/>
        </w:rPr>
        <w:t>grant project. Do not count an individual or family</w:t>
      </w:r>
      <w:r w:rsidR="00FD197D">
        <w:rPr>
          <w:bCs/>
        </w:rPr>
        <w:t xml:space="preserve"> </w:t>
      </w:r>
      <w:r w:rsidRPr="00FD197D">
        <w:rPr>
          <w:bCs/>
        </w:rPr>
        <w:t>more than once</w:t>
      </w:r>
    </w:p>
    <w:p w:rsidR="00EA30D0" w:rsidRPr="004365AA" w:rsidRDefault="00EA30D0" w:rsidP="0046540C">
      <w:pPr>
        <w:pStyle w:val="ListParagraph"/>
        <w:numPr>
          <w:ilvl w:val="0"/>
          <w:numId w:val="31"/>
        </w:numPr>
        <w:spacing w:line="259" w:lineRule="auto"/>
        <w:ind w:left="720"/>
        <w:jc w:val="both"/>
        <w:rPr>
          <w:bCs/>
        </w:rPr>
      </w:pPr>
      <w:r w:rsidRPr="004365AA">
        <w:rPr>
          <w:bCs/>
        </w:rPr>
        <w:t>Race or ethnicity of individuals served by the grant project, if known. Individuals may</w:t>
      </w:r>
      <w:r w:rsidR="004365AA">
        <w:rPr>
          <w:bCs/>
        </w:rPr>
        <w:t xml:space="preserve"> </w:t>
      </w:r>
      <w:r w:rsidRPr="004365AA">
        <w:rPr>
          <w:bCs/>
        </w:rPr>
        <w:t>self-identify their race or ethnicity</w:t>
      </w:r>
    </w:p>
    <w:p w:rsidR="00EA30D0" w:rsidRPr="004365AA" w:rsidRDefault="00EA30D0" w:rsidP="00D91A19">
      <w:pPr>
        <w:pStyle w:val="ListParagraph"/>
        <w:numPr>
          <w:ilvl w:val="0"/>
          <w:numId w:val="31"/>
        </w:numPr>
        <w:spacing w:line="259" w:lineRule="auto"/>
        <w:ind w:left="720"/>
        <w:jc w:val="both"/>
        <w:rPr>
          <w:bCs/>
        </w:rPr>
      </w:pPr>
      <w:r w:rsidRPr="004365AA">
        <w:rPr>
          <w:bCs/>
        </w:rPr>
        <w:t>Languages spoken and/or written by grantee when providing services funded by the</w:t>
      </w:r>
      <w:r w:rsidR="004365AA">
        <w:rPr>
          <w:bCs/>
        </w:rPr>
        <w:t xml:space="preserve"> </w:t>
      </w:r>
      <w:r w:rsidRPr="004365AA">
        <w:rPr>
          <w:bCs/>
        </w:rPr>
        <w:t>grant project to individuals</w:t>
      </w:r>
    </w:p>
    <w:p w:rsidR="00EA30D0" w:rsidRPr="004365AA" w:rsidRDefault="00EA30D0" w:rsidP="004365AA">
      <w:pPr>
        <w:pStyle w:val="ListParagraph"/>
        <w:numPr>
          <w:ilvl w:val="0"/>
          <w:numId w:val="31"/>
        </w:numPr>
        <w:spacing w:line="259" w:lineRule="auto"/>
        <w:ind w:left="720"/>
        <w:jc w:val="both"/>
        <w:rPr>
          <w:bCs/>
        </w:rPr>
      </w:pPr>
      <w:r w:rsidRPr="004365AA">
        <w:rPr>
          <w:bCs/>
        </w:rPr>
        <w:t>Number of new inclusive social and recreational activities accessed by individuals</w:t>
      </w:r>
    </w:p>
    <w:p w:rsidR="00EA30D0" w:rsidRPr="004365AA" w:rsidRDefault="00EA30D0" w:rsidP="00F87901">
      <w:pPr>
        <w:pStyle w:val="ListParagraph"/>
        <w:numPr>
          <w:ilvl w:val="0"/>
          <w:numId w:val="31"/>
        </w:numPr>
        <w:spacing w:line="259" w:lineRule="auto"/>
        <w:ind w:left="720"/>
        <w:jc w:val="both"/>
        <w:rPr>
          <w:bCs/>
        </w:rPr>
      </w:pPr>
      <w:r w:rsidRPr="004365AA">
        <w:rPr>
          <w:bCs/>
        </w:rPr>
        <w:t xml:space="preserve">Number of individuals that made at least one new friend, if applicable. </w:t>
      </w:r>
      <w:r w:rsidR="004365AA" w:rsidRPr="004365AA">
        <w:rPr>
          <w:bCs/>
        </w:rPr>
        <w:t xml:space="preserve"> </w:t>
      </w:r>
      <w:r w:rsidRPr="004365AA">
        <w:rPr>
          <w:bCs/>
        </w:rPr>
        <w:t>A new friend is</w:t>
      </w:r>
      <w:r w:rsidR="004365AA" w:rsidRPr="004365AA">
        <w:rPr>
          <w:bCs/>
        </w:rPr>
        <w:t xml:space="preserve"> </w:t>
      </w:r>
      <w:r w:rsidRPr="004365AA">
        <w:rPr>
          <w:bCs/>
        </w:rPr>
        <w:t>someone the individual is familiar with and enjoys his/her company during play or other</w:t>
      </w:r>
      <w:r w:rsidR="004365AA">
        <w:rPr>
          <w:bCs/>
        </w:rPr>
        <w:t xml:space="preserve"> </w:t>
      </w:r>
      <w:r w:rsidRPr="004365AA">
        <w:rPr>
          <w:bCs/>
        </w:rPr>
        <w:t>interactions</w:t>
      </w:r>
    </w:p>
    <w:p w:rsidR="004365AA" w:rsidRDefault="004365AA" w:rsidP="004365AA">
      <w:pPr>
        <w:spacing w:line="259" w:lineRule="auto"/>
        <w:jc w:val="both"/>
        <w:rPr>
          <w:bCs/>
        </w:rPr>
      </w:pPr>
    </w:p>
    <w:p w:rsidR="00EA30D0" w:rsidRPr="003C3F9F" w:rsidRDefault="00EA30D0" w:rsidP="004365AA">
      <w:pPr>
        <w:spacing w:line="259" w:lineRule="auto"/>
        <w:jc w:val="both"/>
        <w:rPr>
          <w:bCs/>
        </w:rPr>
      </w:pPr>
      <w:r w:rsidRPr="003C3F9F">
        <w:rPr>
          <w:bCs/>
        </w:rPr>
        <w:t>Approved grant projects at or above $100,000 will also be required to report on supplemental</w:t>
      </w:r>
      <w:r w:rsidR="004365AA">
        <w:rPr>
          <w:bCs/>
        </w:rPr>
        <w:t xml:space="preserve"> </w:t>
      </w:r>
      <w:r w:rsidRPr="003C3F9F">
        <w:rPr>
          <w:bCs/>
        </w:rPr>
        <w:t>outcome measures associated with the grant project type.</w:t>
      </w:r>
    </w:p>
    <w:p w:rsidR="00EA30D0" w:rsidRDefault="00EA30D0" w:rsidP="004365AA">
      <w:pPr>
        <w:spacing w:line="259" w:lineRule="auto"/>
        <w:jc w:val="both"/>
        <w:rPr>
          <w:bCs/>
        </w:rPr>
      </w:pPr>
      <w:r w:rsidRPr="003C3F9F">
        <w:rPr>
          <w:bCs/>
        </w:rPr>
        <w:t>Grants that will provide Vendorization Assistance will report on outcome measures that are</w:t>
      </w:r>
      <w:r w:rsidR="004365AA">
        <w:rPr>
          <w:bCs/>
        </w:rPr>
        <w:t xml:space="preserve"> </w:t>
      </w:r>
      <w:r w:rsidRPr="003C3F9F">
        <w:rPr>
          <w:bCs/>
        </w:rPr>
        <w:t>unique to this project type, regardless of grant amount.</w:t>
      </w:r>
    </w:p>
    <w:p w:rsidR="004365AA" w:rsidRPr="003C3F9F" w:rsidRDefault="004365AA" w:rsidP="004365AA">
      <w:pPr>
        <w:spacing w:line="259" w:lineRule="auto"/>
        <w:jc w:val="both"/>
        <w:rPr>
          <w:bCs/>
        </w:rPr>
      </w:pPr>
    </w:p>
    <w:p w:rsidR="00EA30D0" w:rsidRPr="003C3F9F" w:rsidRDefault="00EA30D0" w:rsidP="004365AA">
      <w:pPr>
        <w:spacing w:line="259" w:lineRule="auto"/>
        <w:jc w:val="both"/>
        <w:rPr>
          <w:b/>
          <w:u w:val="single"/>
        </w:rPr>
      </w:pPr>
      <w:r w:rsidRPr="003C3F9F">
        <w:rPr>
          <w:b/>
          <w:u w:val="single"/>
        </w:rPr>
        <w:t>Project Type: Community Connector</w:t>
      </w:r>
    </w:p>
    <w:p w:rsidR="004365AA" w:rsidRDefault="00EA30D0" w:rsidP="004365AA">
      <w:pPr>
        <w:spacing w:line="259" w:lineRule="auto"/>
        <w:jc w:val="both"/>
        <w:rPr>
          <w:bCs/>
        </w:rPr>
      </w:pPr>
      <w:r w:rsidRPr="003C3F9F">
        <w:rPr>
          <w:bCs/>
        </w:rPr>
        <w:t>Proposals can include individualized support to families for the purpose of accessing social</w:t>
      </w:r>
      <w:r w:rsidR="004365AA">
        <w:rPr>
          <w:bCs/>
        </w:rPr>
        <w:t xml:space="preserve"> </w:t>
      </w:r>
      <w:r w:rsidRPr="003C3F9F">
        <w:rPr>
          <w:bCs/>
        </w:rPr>
        <w:t>and recreational programs through community connectors such as community leaders, self</w:t>
      </w:r>
      <w:r w:rsidR="004365AA">
        <w:rPr>
          <w:bCs/>
        </w:rPr>
        <w:t>-</w:t>
      </w:r>
      <w:r w:rsidRPr="003C3F9F">
        <w:rPr>
          <w:bCs/>
        </w:rPr>
        <w:t xml:space="preserve">advocates, and/or family members. </w:t>
      </w:r>
    </w:p>
    <w:p w:rsidR="004365AA" w:rsidRDefault="004365AA" w:rsidP="004365AA">
      <w:pPr>
        <w:spacing w:line="259" w:lineRule="auto"/>
        <w:jc w:val="both"/>
        <w:rPr>
          <w:bCs/>
        </w:rPr>
      </w:pPr>
    </w:p>
    <w:p w:rsidR="00EA30D0" w:rsidRPr="003C3F9F" w:rsidRDefault="00EA30D0" w:rsidP="004365AA">
      <w:pPr>
        <w:spacing w:line="259" w:lineRule="auto"/>
        <w:jc w:val="both"/>
        <w:rPr>
          <w:bCs/>
        </w:rPr>
      </w:pPr>
      <w:r w:rsidRPr="003C3F9F">
        <w:rPr>
          <w:bCs/>
        </w:rPr>
        <w:t>Community connector projects include, but are not limited</w:t>
      </w:r>
      <w:r w:rsidR="004365AA">
        <w:rPr>
          <w:bCs/>
        </w:rPr>
        <w:t xml:space="preserve"> </w:t>
      </w:r>
      <w:r w:rsidRPr="003C3F9F">
        <w:rPr>
          <w:bCs/>
        </w:rPr>
        <w:t xml:space="preserve">to, those that: </w:t>
      </w:r>
    </w:p>
    <w:p w:rsidR="00EA30D0" w:rsidRPr="004365AA" w:rsidRDefault="00EA30D0" w:rsidP="00AB1335">
      <w:pPr>
        <w:pStyle w:val="ListParagraph"/>
        <w:numPr>
          <w:ilvl w:val="0"/>
          <w:numId w:val="9"/>
        </w:numPr>
        <w:spacing w:line="259" w:lineRule="auto"/>
        <w:jc w:val="both"/>
        <w:rPr>
          <w:bCs/>
        </w:rPr>
      </w:pPr>
      <w:r w:rsidRPr="004365AA">
        <w:rPr>
          <w:bCs/>
        </w:rPr>
        <w:t>Create and disseminate resource guides for community, social and recreational</w:t>
      </w:r>
      <w:r w:rsidR="004365AA">
        <w:rPr>
          <w:bCs/>
        </w:rPr>
        <w:t xml:space="preserve"> </w:t>
      </w:r>
      <w:r w:rsidRPr="004365AA">
        <w:rPr>
          <w:bCs/>
        </w:rPr>
        <w:t>programs</w:t>
      </w:r>
    </w:p>
    <w:p w:rsidR="00EA30D0" w:rsidRPr="004365AA" w:rsidRDefault="00EA30D0" w:rsidP="00E76062">
      <w:pPr>
        <w:pStyle w:val="ListParagraph"/>
        <w:numPr>
          <w:ilvl w:val="0"/>
          <w:numId w:val="9"/>
        </w:numPr>
        <w:spacing w:line="259" w:lineRule="auto"/>
        <w:jc w:val="both"/>
        <w:rPr>
          <w:bCs/>
        </w:rPr>
      </w:pPr>
      <w:r w:rsidRPr="004365AA">
        <w:rPr>
          <w:bCs/>
        </w:rPr>
        <w:t>Coordinate with RC staff individualized options to support access to social and</w:t>
      </w:r>
      <w:r w:rsidR="004365AA" w:rsidRPr="004365AA">
        <w:rPr>
          <w:bCs/>
        </w:rPr>
        <w:t xml:space="preserve"> </w:t>
      </w:r>
      <w:r w:rsidRPr="004365AA">
        <w:rPr>
          <w:bCs/>
        </w:rPr>
        <w:t>recreational programs including on-going communication between the family, the</w:t>
      </w:r>
      <w:r w:rsidR="004365AA">
        <w:rPr>
          <w:bCs/>
        </w:rPr>
        <w:t xml:space="preserve"> </w:t>
      </w:r>
      <w:r w:rsidRPr="004365AA">
        <w:rPr>
          <w:bCs/>
        </w:rPr>
        <w:t>community connector and the regional center</w:t>
      </w:r>
    </w:p>
    <w:p w:rsidR="00EA30D0" w:rsidRPr="004365AA" w:rsidRDefault="00EA30D0" w:rsidP="006D410E">
      <w:pPr>
        <w:pStyle w:val="ListParagraph"/>
        <w:numPr>
          <w:ilvl w:val="0"/>
          <w:numId w:val="9"/>
        </w:numPr>
        <w:spacing w:line="259" w:lineRule="auto"/>
        <w:jc w:val="both"/>
        <w:rPr>
          <w:bCs/>
        </w:rPr>
      </w:pPr>
      <w:r w:rsidRPr="004365AA">
        <w:rPr>
          <w:bCs/>
        </w:rPr>
        <w:t xml:space="preserve">Create person-centered </w:t>
      </w:r>
      <w:r w:rsidR="00635374" w:rsidRPr="004365AA">
        <w:rPr>
          <w:bCs/>
        </w:rPr>
        <w:t>one-page</w:t>
      </w:r>
      <w:r w:rsidRPr="004365AA">
        <w:rPr>
          <w:bCs/>
        </w:rPr>
        <w:t xml:space="preserve"> profiles with individuals to facilitate integration and</w:t>
      </w:r>
      <w:r w:rsidR="004365AA">
        <w:rPr>
          <w:bCs/>
        </w:rPr>
        <w:t xml:space="preserve"> </w:t>
      </w:r>
      <w:r w:rsidRPr="004365AA">
        <w:rPr>
          <w:bCs/>
        </w:rPr>
        <w:t>inclusivity</w:t>
      </w:r>
      <w:r w:rsidRPr="004365AA">
        <w:rPr>
          <w:bCs/>
        </w:rPr>
        <w:cr/>
        <w:t>Supplemental Outcome Measures for Community Connector Projects at or above $100,000:</w:t>
      </w:r>
    </w:p>
    <w:p w:rsidR="00EA30D0" w:rsidRPr="004365AA" w:rsidRDefault="00EA30D0" w:rsidP="00CA3074">
      <w:pPr>
        <w:pStyle w:val="ListParagraph"/>
        <w:numPr>
          <w:ilvl w:val="0"/>
          <w:numId w:val="9"/>
        </w:numPr>
        <w:spacing w:line="259" w:lineRule="auto"/>
        <w:jc w:val="both"/>
        <w:rPr>
          <w:bCs/>
        </w:rPr>
      </w:pPr>
      <w:r w:rsidRPr="004365AA">
        <w:rPr>
          <w:bCs/>
        </w:rPr>
        <w:t>Number and name of inclusive social and recreational programs accessed by</w:t>
      </w:r>
      <w:r w:rsidR="004365AA">
        <w:rPr>
          <w:bCs/>
        </w:rPr>
        <w:t xml:space="preserve"> </w:t>
      </w:r>
      <w:r w:rsidRPr="004365AA">
        <w:rPr>
          <w:bCs/>
        </w:rPr>
        <w:t>individuals through the Community Connector</w:t>
      </w:r>
    </w:p>
    <w:p w:rsidR="00EA30D0" w:rsidRPr="003C3F9F" w:rsidRDefault="00EA30D0" w:rsidP="004365AA">
      <w:pPr>
        <w:pStyle w:val="ListParagraph"/>
        <w:numPr>
          <w:ilvl w:val="0"/>
          <w:numId w:val="9"/>
        </w:numPr>
        <w:spacing w:line="259" w:lineRule="auto"/>
        <w:jc w:val="both"/>
        <w:rPr>
          <w:bCs/>
        </w:rPr>
      </w:pPr>
      <w:r w:rsidRPr="003C3F9F">
        <w:rPr>
          <w:bCs/>
        </w:rPr>
        <w:t>List of person-centered thinking tools used to facilitate integration and inclusivity</w:t>
      </w:r>
    </w:p>
    <w:p w:rsidR="004365AA" w:rsidRPr="004365AA" w:rsidRDefault="00EA30D0" w:rsidP="004365AA">
      <w:pPr>
        <w:pStyle w:val="ListParagraph"/>
        <w:numPr>
          <w:ilvl w:val="0"/>
          <w:numId w:val="32"/>
        </w:numPr>
        <w:spacing w:line="259" w:lineRule="auto"/>
        <w:ind w:left="1080"/>
        <w:jc w:val="both"/>
        <w:rPr>
          <w:bCs/>
        </w:rPr>
      </w:pPr>
      <w:r w:rsidRPr="004365AA">
        <w:rPr>
          <w:bCs/>
        </w:rPr>
        <w:lastRenderedPageBreak/>
        <w:t>Examples include, but are not limited to: Person Centered Thinking Planning</w:t>
      </w:r>
      <w:r w:rsidR="004365AA" w:rsidRPr="004365AA">
        <w:rPr>
          <w:bCs/>
        </w:rPr>
        <w:t xml:space="preserve"> </w:t>
      </w:r>
      <w:r w:rsidRPr="004365AA">
        <w:rPr>
          <w:bCs/>
        </w:rPr>
        <w:t>Skills that were used; One Page Profiles; What’s Working/Not Working; Good</w:t>
      </w:r>
      <w:r w:rsidR="004365AA" w:rsidRPr="004365AA">
        <w:rPr>
          <w:bCs/>
        </w:rPr>
        <w:t xml:space="preserve"> Day/Bad Day; Rituals and Routines; Staff Matching; and Positive Reputation</w:t>
      </w:r>
    </w:p>
    <w:p w:rsidR="004365AA" w:rsidRPr="003C3F9F" w:rsidRDefault="004365AA" w:rsidP="004365AA">
      <w:pPr>
        <w:pStyle w:val="ListParagraph"/>
        <w:numPr>
          <w:ilvl w:val="0"/>
          <w:numId w:val="11"/>
        </w:numPr>
        <w:spacing w:line="259" w:lineRule="auto"/>
        <w:jc w:val="both"/>
        <w:rPr>
          <w:bCs/>
        </w:rPr>
      </w:pPr>
      <w:r w:rsidRPr="003C3F9F">
        <w:rPr>
          <w:bCs/>
        </w:rPr>
        <w:t xml:space="preserve">Other measurable outcomes </w:t>
      </w:r>
    </w:p>
    <w:p w:rsidR="004365AA" w:rsidRDefault="004365AA" w:rsidP="004365AA">
      <w:pPr>
        <w:spacing w:line="259" w:lineRule="auto"/>
        <w:jc w:val="both"/>
        <w:rPr>
          <w:b/>
          <w:u w:val="single"/>
        </w:rPr>
      </w:pPr>
    </w:p>
    <w:p w:rsidR="00635374" w:rsidRPr="003C3F9F" w:rsidRDefault="00635374" w:rsidP="004365AA">
      <w:pPr>
        <w:spacing w:line="259" w:lineRule="auto"/>
        <w:jc w:val="both"/>
        <w:rPr>
          <w:b/>
          <w:u w:val="single"/>
        </w:rPr>
      </w:pPr>
      <w:r w:rsidRPr="003C3F9F">
        <w:rPr>
          <w:b/>
          <w:u w:val="single"/>
        </w:rPr>
        <w:t>Project Type: Community Engagement and Friendship Outreach</w:t>
      </w:r>
    </w:p>
    <w:p w:rsidR="00635374" w:rsidRPr="003C3F9F" w:rsidRDefault="00635374" w:rsidP="004365AA">
      <w:pPr>
        <w:spacing w:line="259" w:lineRule="auto"/>
        <w:jc w:val="both"/>
        <w:rPr>
          <w:bCs/>
        </w:rPr>
      </w:pPr>
      <w:r w:rsidRPr="003C3F9F">
        <w:rPr>
          <w:bCs/>
        </w:rPr>
        <w:t>Proposals can increase community awareness and engagement through outreach activities</w:t>
      </w:r>
      <w:r w:rsidR="004365AA">
        <w:rPr>
          <w:bCs/>
        </w:rPr>
        <w:t xml:space="preserve"> </w:t>
      </w:r>
      <w:r w:rsidRPr="003C3F9F">
        <w:rPr>
          <w:bCs/>
        </w:rPr>
        <w:t>that focus on friendship development and inclusion of individuals with all abilities. Community</w:t>
      </w:r>
      <w:r w:rsidR="0085765E">
        <w:rPr>
          <w:bCs/>
        </w:rPr>
        <w:t xml:space="preserve"> </w:t>
      </w:r>
      <w:r w:rsidRPr="003C3F9F">
        <w:rPr>
          <w:bCs/>
        </w:rPr>
        <w:t>outreach may include individuals and the general population. Community engagement and</w:t>
      </w:r>
      <w:r w:rsidR="0085765E">
        <w:rPr>
          <w:bCs/>
        </w:rPr>
        <w:t xml:space="preserve"> </w:t>
      </w:r>
      <w:r w:rsidRPr="003C3F9F">
        <w:rPr>
          <w:bCs/>
        </w:rPr>
        <w:t>friendship outreach projects include, but are not limited to, the following:</w:t>
      </w:r>
    </w:p>
    <w:p w:rsidR="00635374" w:rsidRPr="003C3F9F" w:rsidRDefault="00635374" w:rsidP="004365AA">
      <w:pPr>
        <w:pStyle w:val="ListParagraph"/>
        <w:numPr>
          <w:ilvl w:val="0"/>
          <w:numId w:val="11"/>
        </w:numPr>
        <w:spacing w:line="259" w:lineRule="auto"/>
        <w:jc w:val="both"/>
        <w:rPr>
          <w:bCs/>
        </w:rPr>
      </w:pPr>
      <w:r w:rsidRPr="003C3F9F">
        <w:rPr>
          <w:bCs/>
        </w:rPr>
        <w:t>Peer-mentorship training programs</w:t>
      </w:r>
    </w:p>
    <w:p w:rsidR="00635374" w:rsidRPr="003C3F9F" w:rsidRDefault="00635374" w:rsidP="004365AA">
      <w:pPr>
        <w:pStyle w:val="ListParagraph"/>
        <w:numPr>
          <w:ilvl w:val="0"/>
          <w:numId w:val="11"/>
        </w:numPr>
        <w:spacing w:line="259" w:lineRule="auto"/>
        <w:jc w:val="both"/>
        <w:rPr>
          <w:bCs/>
        </w:rPr>
      </w:pPr>
      <w:r w:rsidRPr="003C3F9F">
        <w:rPr>
          <w:bCs/>
        </w:rPr>
        <w:t>Big Brother/Big Sister programs</w:t>
      </w:r>
    </w:p>
    <w:p w:rsidR="00635374" w:rsidRPr="003C3F9F" w:rsidRDefault="00635374" w:rsidP="004365AA">
      <w:pPr>
        <w:pStyle w:val="ListParagraph"/>
        <w:numPr>
          <w:ilvl w:val="0"/>
          <w:numId w:val="11"/>
        </w:numPr>
        <w:spacing w:line="259" w:lineRule="auto"/>
        <w:jc w:val="both"/>
        <w:rPr>
          <w:bCs/>
        </w:rPr>
      </w:pPr>
      <w:r w:rsidRPr="003C3F9F">
        <w:rPr>
          <w:bCs/>
        </w:rPr>
        <w:t>Socialization or social skills training</w:t>
      </w:r>
    </w:p>
    <w:p w:rsidR="00635374" w:rsidRDefault="00635374" w:rsidP="004365AA">
      <w:pPr>
        <w:pStyle w:val="ListParagraph"/>
        <w:numPr>
          <w:ilvl w:val="0"/>
          <w:numId w:val="11"/>
        </w:numPr>
        <w:spacing w:line="259" w:lineRule="auto"/>
        <w:jc w:val="both"/>
        <w:rPr>
          <w:bCs/>
        </w:rPr>
      </w:pPr>
      <w:r w:rsidRPr="003C3F9F">
        <w:rPr>
          <w:bCs/>
        </w:rPr>
        <w:t>Programs that integrate family and/or siblings in social and recreational activities</w:t>
      </w:r>
    </w:p>
    <w:p w:rsidR="0085765E" w:rsidRPr="003C3F9F" w:rsidRDefault="0085765E" w:rsidP="0085765E">
      <w:pPr>
        <w:pStyle w:val="ListParagraph"/>
        <w:spacing w:line="259" w:lineRule="auto"/>
        <w:jc w:val="both"/>
        <w:rPr>
          <w:bCs/>
        </w:rPr>
      </w:pPr>
    </w:p>
    <w:p w:rsidR="00635374" w:rsidRPr="003C3F9F" w:rsidRDefault="00635374" w:rsidP="004365AA">
      <w:pPr>
        <w:spacing w:line="259" w:lineRule="auto"/>
        <w:jc w:val="both"/>
        <w:rPr>
          <w:bCs/>
        </w:rPr>
      </w:pPr>
      <w:r w:rsidRPr="003C3F9F">
        <w:rPr>
          <w:bCs/>
        </w:rPr>
        <w:t>Supplemental Outcome Measures for Community Engagement and Friendship Outreach</w:t>
      </w:r>
      <w:r w:rsidR="0085765E">
        <w:rPr>
          <w:bCs/>
        </w:rPr>
        <w:t xml:space="preserve"> </w:t>
      </w:r>
      <w:r w:rsidRPr="003C3F9F">
        <w:rPr>
          <w:bCs/>
        </w:rPr>
        <w:t>Projects at or above $100,000:</w:t>
      </w:r>
    </w:p>
    <w:p w:rsidR="00635374" w:rsidRPr="003C3F9F" w:rsidRDefault="00635374" w:rsidP="004365AA">
      <w:pPr>
        <w:pStyle w:val="ListParagraph"/>
        <w:numPr>
          <w:ilvl w:val="0"/>
          <w:numId w:val="12"/>
        </w:numPr>
        <w:spacing w:line="259" w:lineRule="auto"/>
        <w:jc w:val="both"/>
        <w:rPr>
          <w:bCs/>
        </w:rPr>
      </w:pPr>
      <w:r w:rsidRPr="003C3F9F">
        <w:rPr>
          <w:bCs/>
        </w:rPr>
        <w:t>Number of training classes held</w:t>
      </w:r>
    </w:p>
    <w:p w:rsidR="00635374" w:rsidRPr="003C3F9F" w:rsidRDefault="00635374" w:rsidP="004365AA">
      <w:pPr>
        <w:pStyle w:val="ListParagraph"/>
        <w:numPr>
          <w:ilvl w:val="0"/>
          <w:numId w:val="12"/>
        </w:numPr>
        <w:spacing w:line="259" w:lineRule="auto"/>
        <w:jc w:val="both"/>
        <w:rPr>
          <w:bCs/>
        </w:rPr>
      </w:pPr>
      <w:r w:rsidRPr="003C3F9F">
        <w:rPr>
          <w:bCs/>
        </w:rPr>
        <w:t>Number of people (include general population and individuals) who attended training</w:t>
      </w:r>
    </w:p>
    <w:p w:rsidR="00635374" w:rsidRPr="003C3F9F" w:rsidRDefault="00635374" w:rsidP="004365AA">
      <w:pPr>
        <w:pStyle w:val="ListParagraph"/>
        <w:numPr>
          <w:ilvl w:val="0"/>
          <w:numId w:val="12"/>
        </w:numPr>
        <w:spacing w:line="259" w:lineRule="auto"/>
        <w:jc w:val="both"/>
        <w:rPr>
          <w:bCs/>
        </w:rPr>
      </w:pPr>
      <w:r w:rsidRPr="003C3F9F">
        <w:rPr>
          <w:bCs/>
        </w:rPr>
        <w:t>Number of outreach or community engagement events</w:t>
      </w:r>
    </w:p>
    <w:p w:rsidR="00635374" w:rsidRPr="003C3F9F" w:rsidRDefault="00635374" w:rsidP="004365AA">
      <w:pPr>
        <w:pStyle w:val="ListParagraph"/>
        <w:numPr>
          <w:ilvl w:val="0"/>
          <w:numId w:val="12"/>
        </w:numPr>
        <w:spacing w:line="259" w:lineRule="auto"/>
        <w:jc w:val="both"/>
        <w:rPr>
          <w:bCs/>
        </w:rPr>
      </w:pPr>
      <w:r w:rsidRPr="003C3F9F">
        <w:rPr>
          <w:bCs/>
        </w:rPr>
        <w:t>Number of people (include general population and individuals) who attended outreach or community engagement events</w:t>
      </w:r>
    </w:p>
    <w:p w:rsidR="00635374" w:rsidRPr="003C3F9F" w:rsidRDefault="00635374" w:rsidP="004365AA">
      <w:pPr>
        <w:pStyle w:val="ListParagraph"/>
        <w:numPr>
          <w:ilvl w:val="0"/>
          <w:numId w:val="12"/>
        </w:numPr>
        <w:spacing w:line="259" w:lineRule="auto"/>
        <w:jc w:val="both"/>
        <w:rPr>
          <w:bCs/>
        </w:rPr>
      </w:pPr>
      <w:r w:rsidRPr="003C3F9F">
        <w:rPr>
          <w:bCs/>
        </w:rPr>
        <w:t>Other measurable outcomes</w:t>
      </w:r>
    </w:p>
    <w:p w:rsidR="006734B4" w:rsidRPr="003C3F9F" w:rsidRDefault="006734B4" w:rsidP="004365AA">
      <w:pPr>
        <w:spacing w:line="259" w:lineRule="auto"/>
        <w:jc w:val="both"/>
        <w:rPr>
          <w:bCs/>
        </w:rPr>
      </w:pPr>
    </w:p>
    <w:p w:rsidR="006734B4" w:rsidRPr="003C3F9F" w:rsidRDefault="006734B4" w:rsidP="004365AA">
      <w:pPr>
        <w:spacing w:line="259" w:lineRule="auto"/>
        <w:jc w:val="both"/>
        <w:rPr>
          <w:b/>
          <w:u w:val="single"/>
        </w:rPr>
      </w:pPr>
      <w:r w:rsidRPr="003C3F9F">
        <w:rPr>
          <w:b/>
          <w:u w:val="single"/>
        </w:rPr>
        <w:t>Project Type: Education and Training</w:t>
      </w:r>
    </w:p>
    <w:p w:rsidR="006734B4" w:rsidRPr="003C3F9F" w:rsidRDefault="006734B4" w:rsidP="004365AA">
      <w:pPr>
        <w:spacing w:line="259" w:lineRule="auto"/>
        <w:jc w:val="both"/>
        <w:rPr>
          <w:bCs/>
        </w:rPr>
      </w:pPr>
      <w:r w:rsidRPr="003C3F9F">
        <w:rPr>
          <w:bCs/>
        </w:rPr>
        <w:t>Proposals can include education and training programs for staff, peers and the community</w:t>
      </w:r>
      <w:r w:rsidR="0085765E">
        <w:rPr>
          <w:bCs/>
        </w:rPr>
        <w:t xml:space="preserve"> </w:t>
      </w:r>
      <w:r w:rsidRPr="003C3F9F">
        <w:rPr>
          <w:bCs/>
        </w:rPr>
        <w:t>about: children and adolescents with I/DD and their physical and behavioral needs; how to</w:t>
      </w:r>
      <w:r w:rsidR="0085765E">
        <w:rPr>
          <w:bCs/>
        </w:rPr>
        <w:t xml:space="preserve"> </w:t>
      </w:r>
      <w:r w:rsidRPr="003C3F9F">
        <w:rPr>
          <w:bCs/>
        </w:rPr>
        <w:t>support children and adolescents with I/DD in social and recreational programs; and how RCs</w:t>
      </w:r>
      <w:r w:rsidR="0085765E">
        <w:rPr>
          <w:bCs/>
        </w:rPr>
        <w:t xml:space="preserve"> </w:t>
      </w:r>
      <w:r w:rsidRPr="003C3F9F">
        <w:rPr>
          <w:bCs/>
        </w:rPr>
        <w:t>serve children and adolescents with I/DD. Education and training projects include, but are not</w:t>
      </w:r>
      <w:r w:rsidR="0085765E">
        <w:rPr>
          <w:bCs/>
        </w:rPr>
        <w:t xml:space="preserve"> </w:t>
      </w:r>
      <w:r w:rsidRPr="003C3F9F">
        <w:rPr>
          <w:bCs/>
        </w:rPr>
        <w:t>limited to, the following:</w:t>
      </w:r>
    </w:p>
    <w:p w:rsidR="006734B4" w:rsidRPr="003C3F9F" w:rsidRDefault="006734B4" w:rsidP="004365AA">
      <w:pPr>
        <w:pStyle w:val="ListParagraph"/>
        <w:numPr>
          <w:ilvl w:val="0"/>
          <w:numId w:val="13"/>
        </w:numPr>
        <w:spacing w:line="259" w:lineRule="auto"/>
        <w:jc w:val="both"/>
        <w:rPr>
          <w:bCs/>
        </w:rPr>
      </w:pPr>
      <w:r w:rsidRPr="003C3F9F">
        <w:rPr>
          <w:bCs/>
        </w:rPr>
        <w:t>Overview of the RC system and types of services and supports provided by the RC</w:t>
      </w:r>
    </w:p>
    <w:p w:rsidR="006734B4" w:rsidRPr="003C3F9F" w:rsidRDefault="006734B4" w:rsidP="004365AA">
      <w:pPr>
        <w:pStyle w:val="ListParagraph"/>
        <w:numPr>
          <w:ilvl w:val="0"/>
          <w:numId w:val="13"/>
        </w:numPr>
        <w:spacing w:line="259" w:lineRule="auto"/>
        <w:jc w:val="both"/>
        <w:rPr>
          <w:bCs/>
        </w:rPr>
      </w:pPr>
      <w:r w:rsidRPr="003C3F9F">
        <w:rPr>
          <w:bCs/>
        </w:rPr>
        <w:t>Impact of developmental disabilities on individuals and their families</w:t>
      </w:r>
    </w:p>
    <w:p w:rsidR="006734B4" w:rsidRPr="003C3F9F" w:rsidRDefault="006734B4" w:rsidP="004365AA">
      <w:pPr>
        <w:pStyle w:val="ListParagraph"/>
        <w:numPr>
          <w:ilvl w:val="0"/>
          <w:numId w:val="13"/>
        </w:numPr>
        <w:spacing w:line="259" w:lineRule="auto"/>
        <w:jc w:val="both"/>
        <w:rPr>
          <w:bCs/>
        </w:rPr>
      </w:pPr>
      <w:r w:rsidRPr="003C3F9F">
        <w:rPr>
          <w:bCs/>
        </w:rPr>
        <w:t>Information about accessing social and recreational programs</w:t>
      </w:r>
    </w:p>
    <w:p w:rsidR="006734B4" w:rsidRPr="003C3F9F" w:rsidRDefault="006734B4" w:rsidP="004365AA">
      <w:pPr>
        <w:pStyle w:val="ListParagraph"/>
        <w:numPr>
          <w:ilvl w:val="0"/>
          <w:numId w:val="13"/>
        </w:numPr>
        <w:spacing w:line="259" w:lineRule="auto"/>
        <w:jc w:val="both"/>
        <w:rPr>
          <w:bCs/>
        </w:rPr>
      </w:pPr>
      <w:r w:rsidRPr="003C3F9F">
        <w:rPr>
          <w:bCs/>
        </w:rPr>
        <w:t>Best practices for direct staff to facilitate and support individuals with I/DD to participate in social and recreational activities</w:t>
      </w:r>
    </w:p>
    <w:p w:rsidR="006734B4" w:rsidRPr="003C3F9F" w:rsidRDefault="006734B4" w:rsidP="004365AA">
      <w:pPr>
        <w:pStyle w:val="ListParagraph"/>
        <w:numPr>
          <w:ilvl w:val="0"/>
          <w:numId w:val="13"/>
        </w:numPr>
        <w:spacing w:line="259" w:lineRule="auto"/>
        <w:jc w:val="both"/>
        <w:rPr>
          <w:bCs/>
        </w:rPr>
      </w:pPr>
      <w:r w:rsidRPr="003C3F9F">
        <w:rPr>
          <w:bCs/>
        </w:rPr>
        <w:t>Peer-mentorship training programs</w:t>
      </w:r>
    </w:p>
    <w:p w:rsidR="006734B4" w:rsidRPr="003C3F9F" w:rsidRDefault="006734B4" w:rsidP="004365AA">
      <w:pPr>
        <w:pStyle w:val="ListParagraph"/>
        <w:numPr>
          <w:ilvl w:val="0"/>
          <w:numId w:val="13"/>
        </w:numPr>
        <w:spacing w:line="259" w:lineRule="auto"/>
        <w:jc w:val="both"/>
        <w:rPr>
          <w:bCs/>
        </w:rPr>
      </w:pPr>
      <w:r w:rsidRPr="003C3F9F">
        <w:rPr>
          <w:bCs/>
        </w:rPr>
        <w:t xml:space="preserve">Certification programs that focus on supporting people with I/DD and their physical and behavioral needs </w:t>
      </w:r>
    </w:p>
    <w:p w:rsidR="002B391C" w:rsidRDefault="002B391C" w:rsidP="004365AA">
      <w:pPr>
        <w:spacing w:line="259" w:lineRule="auto"/>
        <w:jc w:val="both"/>
        <w:rPr>
          <w:bCs/>
        </w:rPr>
      </w:pPr>
    </w:p>
    <w:p w:rsidR="006734B4" w:rsidRPr="003C3F9F" w:rsidRDefault="006734B4" w:rsidP="004365AA">
      <w:pPr>
        <w:spacing w:line="259" w:lineRule="auto"/>
        <w:jc w:val="both"/>
        <w:rPr>
          <w:bCs/>
        </w:rPr>
      </w:pPr>
      <w:r w:rsidRPr="003C3F9F">
        <w:rPr>
          <w:bCs/>
        </w:rPr>
        <w:t>Supplemental Outcome Measures for Education and Training Projects at or above $100,000:</w:t>
      </w:r>
    </w:p>
    <w:p w:rsidR="006734B4" w:rsidRPr="003C3F9F" w:rsidRDefault="006734B4" w:rsidP="004365AA">
      <w:pPr>
        <w:pStyle w:val="ListParagraph"/>
        <w:numPr>
          <w:ilvl w:val="0"/>
          <w:numId w:val="14"/>
        </w:numPr>
        <w:spacing w:line="259" w:lineRule="auto"/>
        <w:jc w:val="both"/>
        <w:rPr>
          <w:bCs/>
        </w:rPr>
      </w:pPr>
      <w:r w:rsidRPr="003C3F9F">
        <w:rPr>
          <w:bCs/>
        </w:rPr>
        <w:t>Number of training classes held</w:t>
      </w:r>
    </w:p>
    <w:p w:rsidR="006734B4" w:rsidRPr="003C3F9F" w:rsidRDefault="006734B4" w:rsidP="004365AA">
      <w:pPr>
        <w:pStyle w:val="ListParagraph"/>
        <w:numPr>
          <w:ilvl w:val="0"/>
          <w:numId w:val="14"/>
        </w:numPr>
        <w:spacing w:line="259" w:lineRule="auto"/>
        <w:jc w:val="both"/>
        <w:rPr>
          <w:bCs/>
        </w:rPr>
      </w:pPr>
      <w:r w:rsidRPr="003C3F9F">
        <w:rPr>
          <w:bCs/>
        </w:rPr>
        <w:t>Number of staff that attended and completed training (may include certification)</w:t>
      </w:r>
    </w:p>
    <w:p w:rsidR="006734B4" w:rsidRPr="002B391C" w:rsidRDefault="006734B4" w:rsidP="007D4EAE">
      <w:pPr>
        <w:pStyle w:val="ListParagraph"/>
        <w:numPr>
          <w:ilvl w:val="0"/>
          <w:numId w:val="10"/>
        </w:numPr>
        <w:spacing w:line="259" w:lineRule="auto"/>
        <w:ind w:left="1080"/>
        <w:jc w:val="both"/>
        <w:rPr>
          <w:bCs/>
        </w:rPr>
      </w:pPr>
      <w:r w:rsidRPr="002B391C">
        <w:rPr>
          <w:bCs/>
        </w:rPr>
        <w:lastRenderedPageBreak/>
        <w:t>It is recommended that training programs include an assessment component and</w:t>
      </w:r>
      <w:r w:rsidR="002B391C">
        <w:rPr>
          <w:bCs/>
        </w:rPr>
        <w:t xml:space="preserve"> </w:t>
      </w:r>
      <w:r w:rsidRPr="002B391C">
        <w:rPr>
          <w:bCs/>
        </w:rPr>
        <w:t>criteria for participants to meet training competencies such as pre-tests and posttests to measure learning. Supporting documentation must be available upon request.</w:t>
      </w:r>
    </w:p>
    <w:p w:rsidR="006734B4" w:rsidRPr="003C3F9F" w:rsidRDefault="006734B4" w:rsidP="004365AA">
      <w:pPr>
        <w:pStyle w:val="ListParagraph"/>
        <w:numPr>
          <w:ilvl w:val="0"/>
          <w:numId w:val="15"/>
        </w:numPr>
        <w:spacing w:line="259" w:lineRule="auto"/>
        <w:jc w:val="both"/>
        <w:rPr>
          <w:bCs/>
        </w:rPr>
      </w:pPr>
      <w:r w:rsidRPr="003C3F9F">
        <w:rPr>
          <w:bCs/>
        </w:rPr>
        <w:t>Number of community members that attended and completed training</w:t>
      </w:r>
    </w:p>
    <w:p w:rsidR="006734B4" w:rsidRPr="003C3F9F" w:rsidRDefault="006734B4" w:rsidP="004365AA">
      <w:pPr>
        <w:pStyle w:val="ListParagraph"/>
        <w:numPr>
          <w:ilvl w:val="0"/>
          <w:numId w:val="15"/>
        </w:numPr>
        <w:spacing w:line="259" w:lineRule="auto"/>
        <w:jc w:val="both"/>
        <w:rPr>
          <w:bCs/>
        </w:rPr>
      </w:pPr>
      <w:r w:rsidRPr="003C3F9F">
        <w:rPr>
          <w:bCs/>
        </w:rPr>
        <w:t>Number of individuals who were served by trained/certified staff</w:t>
      </w:r>
    </w:p>
    <w:p w:rsidR="002B391C" w:rsidRPr="005C6DF6" w:rsidRDefault="006734B4" w:rsidP="004365AA">
      <w:pPr>
        <w:pStyle w:val="ListParagraph"/>
        <w:numPr>
          <w:ilvl w:val="0"/>
          <w:numId w:val="15"/>
        </w:numPr>
        <w:spacing w:line="259" w:lineRule="auto"/>
        <w:jc w:val="both"/>
        <w:rPr>
          <w:bCs/>
        </w:rPr>
      </w:pPr>
      <w:r w:rsidRPr="002B391C">
        <w:rPr>
          <w:bCs/>
        </w:rPr>
        <w:t>Other measurable outcomes</w:t>
      </w:r>
      <w:r w:rsidRPr="002B391C">
        <w:rPr>
          <w:bCs/>
        </w:rPr>
        <w:cr/>
      </w:r>
    </w:p>
    <w:p w:rsidR="006734B4" w:rsidRPr="003C3F9F" w:rsidRDefault="006734B4" w:rsidP="004365AA">
      <w:pPr>
        <w:spacing w:line="259" w:lineRule="auto"/>
        <w:jc w:val="both"/>
        <w:rPr>
          <w:b/>
          <w:u w:val="single"/>
        </w:rPr>
      </w:pPr>
      <w:r w:rsidRPr="003C3F9F">
        <w:rPr>
          <w:b/>
          <w:u w:val="single"/>
        </w:rPr>
        <w:t>Project Type: Financial Assistance</w:t>
      </w:r>
    </w:p>
    <w:p w:rsidR="003C3F9F" w:rsidRPr="003C3F9F" w:rsidRDefault="006734B4" w:rsidP="004365AA">
      <w:pPr>
        <w:spacing w:line="259" w:lineRule="auto"/>
        <w:jc w:val="both"/>
        <w:rPr>
          <w:bCs/>
        </w:rPr>
      </w:pPr>
      <w:r w:rsidRPr="003C3F9F">
        <w:rPr>
          <w:bCs/>
        </w:rPr>
        <w:t>Proposals can provide financial assistance for fees or reduced fees for inclusive social and</w:t>
      </w:r>
      <w:r w:rsidR="002B391C">
        <w:rPr>
          <w:bCs/>
        </w:rPr>
        <w:t xml:space="preserve"> </w:t>
      </w:r>
      <w:r w:rsidRPr="003C3F9F">
        <w:rPr>
          <w:bCs/>
        </w:rPr>
        <w:t>recreational programs and activities to individuals. Financial assistance projects cannot be</w:t>
      </w:r>
      <w:r w:rsidR="002B391C">
        <w:rPr>
          <w:bCs/>
        </w:rPr>
        <w:t xml:space="preserve"> </w:t>
      </w:r>
      <w:r w:rsidR="003C3F9F" w:rsidRPr="003C3F9F">
        <w:rPr>
          <w:bCs/>
        </w:rPr>
        <w:t>income based</w:t>
      </w:r>
      <w:r w:rsidRPr="003C3F9F">
        <w:rPr>
          <w:bCs/>
        </w:rPr>
        <w:t>.</w:t>
      </w:r>
    </w:p>
    <w:p w:rsidR="006734B4" w:rsidRDefault="006734B4" w:rsidP="004365AA">
      <w:pPr>
        <w:spacing w:line="259" w:lineRule="auto"/>
        <w:jc w:val="both"/>
        <w:rPr>
          <w:bCs/>
        </w:rPr>
      </w:pPr>
      <w:r w:rsidRPr="003C3F9F">
        <w:rPr>
          <w:bCs/>
        </w:rPr>
        <w:t>Awarded funds may not be used to pay RC vendored providers for social and recreational</w:t>
      </w:r>
      <w:r w:rsidR="002B391C">
        <w:rPr>
          <w:bCs/>
        </w:rPr>
        <w:t xml:space="preserve"> </w:t>
      </w:r>
      <w:r w:rsidRPr="003C3F9F">
        <w:rPr>
          <w:bCs/>
        </w:rPr>
        <w:t>services. Financial assistance will be permitted only if funding of the social and recreational</w:t>
      </w:r>
      <w:r w:rsidR="002B391C">
        <w:rPr>
          <w:bCs/>
        </w:rPr>
        <w:t xml:space="preserve"> </w:t>
      </w:r>
      <w:r w:rsidRPr="003C3F9F">
        <w:rPr>
          <w:bCs/>
        </w:rPr>
        <w:t>program is not available via POS. Financial assistance is not intended for a one-time activity</w:t>
      </w:r>
      <w:r w:rsidR="002B391C">
        <w:rPr>
          <w:bCs/>
        </w:rPr>
        <w:t xml:space="preserve"> </w:t>
      </w:r>
      <w:r w:rsidRPr="003C3F9F">
        <w:rPr>
          <w:bCs/>
        </w:rPr>
        <w:t>unless the one-time activity compliments or is part of an ongoing or recurring activity. The onetime activity must be described in the grant proposals.</w:t>
      </w:r>
    </w:p>
    <w:p w:rsidR="002B391C" w:rsidRPr="002B391C" w:rsidRDefault="002B391C" w:rsidP="004365AA">
      <w:pPr>
        <w:spacing w:line="259" w:lineRule="auto"/>
        <w:jc w:val="both"/>
        <w:rPr>
          <w:bCs/>
          <w:sz w:val="18"/>
          <w:szCs w:val="18"/>
        </w:rPr>
      </w:pPr>
    </w:p>
    <w:p w:rsidR="006734B4" w:rsidRPr="003C3F9F" w:rsidRDefault="006734B4" w:rsidP="004365AA">
      <w:pPr>
        <w:spacing w:line="259" w:lineRule="auto"/>
        <w:jc w:val="both"/>
        <w:rPr>
          <w:bCs/>
        </w:rPr>
      </w:pPr>
      <w:r w:rsidRPr="003C3F9F">
        <w:rPr>
          <w:bCs/>
        </w:rPr>
        <w:t>Financial assistance projects could include, but are not limited to, the following:</w:t>
      </w:r>
    </w:p>
    <w:p w:rsidR="003C3F9F" w:rsidRPr="003C3F9F" w:rsidRDefault="006734B4" w:rsidP="004365AA">
      <w:pPr>
        <w:pStyle w:val="ListParagraph"/>
        <w:numPr>
          <w:ilvl w:val="0"/>
          <w:numId w:val="16"/>
        </w:numPr>
        <w:spacing w:line="259" w:lineRule="auto"/>
        <w:jc w:val="both"/>
        <w:rPr>
          <w:bCs/>
        </w:rPr>
      </w:pPr>
      <w:r w:rsidRPr="003C3F9F">
        <w:rPr>
          <w:bCs/>
        </w:rPr>
        <w:t>Membership or activity scholarships</w:t>
      </w:r>
    </w:p>
    <w:p w:rsidR="003C3F9F" w:rsidRPr="003C3F9F" w:rsidRDefault="006734B4" w:rsidP="004365AA">
      <w:pPr>
        <w:pStyle w:val="ListParagraph"/>
        <w:numPr>
          <w:ilvl w:val="0"/>
          <w:numId w:val="16"/>
        </w:numPr>
        <w:spacing w:line="259" w:lineRule="auto"/>
        <w:jc w:val="both"/>
        <w:rPr>
          <w:bCs/>
        </w:rPr>
      </w:pPr>
      <w:r w:rsidRPr="003C3F9F">
        <w:rPr>
          <w:bCs/>
        </w:rPr>
        <w:t>Reduced fees for monthly memberships and/or activity fees</w:t>
      </w:r>
    </w:p>
    <w:p w:rsidR="003C3F9F" w:rsidRDefault="006734B4" w:rsidP="004365AA">
      <w:pPr>
        <w:pStyle w:val="ListParagraph"/>
        <w:numPr>
          <w:ilvl w:val="0"/>
          <w:numId w:val="16"/>
        </w:numPr>
        <w:spacing w:line="259" w:lineRule="auto"/>
        <w:jc w:val="both"/>
        <w:rPr>
          <w:bCs/>
        </w:rPr>
      </w:pPr>
      <w:r w:rsidRPr="003C3F9F">
        <w:rPr>
          <w:bCs/>
        </w:rPr>
        <w:t>Art classes that include an exhibition featuring art created by class participants</w:t>
      </w:r>
    </w:p>
    <w:p w:rsidR="002B391C" w:rsidRPr="002B391C" w:rsidRDefault="002B391C" w:rsidP="002B391C">
      <w:pPr>
        <w:pStyle w:val="ListParagraph"/>
        <w:spacing w:line="259" w:lineRule="auto"/>
        <w:jc w:val="both"/>
        <w:rPr>
          <w:bCs/>
          <w:sz w:val="16"/>
          <w:szCs w:val="16"/>
        </w:rPr>
      </w:pPr>
    </w:p>
    <w:p w:rsidR="006734B4" w:rsidRPr="003C3F9F" w:rsidRDefault="006734B4" w:rsidP="004365AA">
      <w:pPr>
        <w:spacing w:line="259" w:lineRule="auto"/>
        <w:jc w:val="both"/>
        <w:rPr>
          <w:bCs/>
        </w:rPr>
      </w:pPr>
      <w:r w:rsidRPr="003C3F9F">
        <w:rPr>
          <w:bCs/>
        </w:rPr>
        <w:t>Supplemental Outcome Measures for Financial Assistance Projects at or above $100,000:</w:t>
      </w:r>
    </w:p>
    <w:p w:rsidR="006734B4" w:rsidRPr="003C3F9F" w:rsidRDefault="006734B4" w:rsidP="004365AA">
      <w:pPr>
        <w:pStyle w:val="ListParagraph"/>
        <w:numPr>
          <w:ilvl w:val="0"/>
          <w:numId w:val="17"/>
        </w:numPr>
        <w:spacing w:line="259" w:lineRule="auto"/>
        <w:jc w:val="both"/>
        <w:rPr>
          <w:bCs/>
        </w:rPr>
      </w:pPr>
      <w:r w:rsidRPr="003C3F9F">
        <w:rPr>
          <w:bCs/>
        </w:rPr>
        <w:t>Number of reduced fees and/or scholarships granted to individuals</w:t>
      </w:r>
    </w:p>
    <w:p w:rsidR="003C3F9F" w:rsidRPr="003C3F9F" w:rsidRDefault="006734B4" w:rsidP="004365AA">
      <w:pPr>
        <w:pStyle w:val="ListParagraph"/>
        <w:numPr>
          <w:ilvl w:val="0"/>
          <w:numId w:val="17"/>
        </w:numPr>
        <w:spacing w:line="259" w:lineRule="auto"/>
        <w:jc w:val="both"/>
        <w:rPr>
          <w:bCs/>
        </w:rPr>
      </w:pPr>
      <w:r w:rsidRPr="003C3F9F">
        <w:rPr>
          <w:bCs/>
        </w:rPr>
        <w:t>Dollar value of reduced fees and/or scholarships granted to individuals</w:t>
      </w:r>
    </w:p>
    <w:p w:rsidR="003C3F9F" w:rsidRDefault="006734B4" w:rsidP="004365AA">
      <w:pPr>
        <w:pStyle w:val="ListParagraph"/>
        <w:numPr>
          <w:ilvl w:val="0"/>
          <w:numId w:val="17"/>
        </w:numPr>
        <w:spacing w:line="259" w:lineRule="auto"/>
        <w:jc w:val="both"/>
        <w:rPr>
          <w:bCs/>
        </w:rPr>
      </w:pPr>
      <w:r w:rsidRPr="003C3F9F">
        <w:rPr>
          <w:bCs/>
        </w:rPr>
        <w:t>Other measurable outcomes</w:t>
      </w:r>
    </w:p>
    <w:p w:rsidR="003C3F9F" w:rsidRDefault="003C3F9F" w:rsidP="004365AA">
      <w:pPr>
        <w:spacing w:line="259" w:lineRule="auto"/>
        <w:jc w:val="both"/>
        <w:rPr>
          <w:bCs/>
        </w:rPr>
      </w:pPr>
    </w:p>
    <w:p w:rsidR="003C3F9F" w:rsidRPr="003C3F9F" w:rsidRDefault="003C3F9F" w:rsidP="004365AA">
      <w:pPr>
        <w:spacing w:line="259" w:lineRule="auto"/>
        <w:jc w:val="both"/>
        <w:rPr>
          <w:b/>
          <w:u w:val="single"/>
        </w:rPr>
      </w:pPr>
      <w:r w:rsidRPr="003C3F9F">
        <w:rPr>
          <w:b/>
          <w:u w:val="single"/>
        </w:rPr>
        <w:t>Project Type: Increased Access to Programs that are Culturally and Linguistically Sensitive</w:t>
      </w:r>
    </w:p>
    <w:p w:rsidR="003C3F9F" w:rsidRPr="003C3F9F" w:rsidRDefault="003C3F9F" w:rsidP="004365AA">
      <w:pPr>
        <w:spacing w:line="259" w:lineRule="auto"/>
        <w:jc w:val="both"/>
        <w:rPr>
          <w:bCs/>
        </w:rPr>
      </w:pPr>
      <w:r w:rsidRPr="003C3F9F">
        <w:rPr>
          <w:bCs/>
        </w:rPr>
        <w:t>Proposals can increase capacity for bilingual or multilingual staff and provide information or</w:t>
      </w:r>
      <w:r w:rsidR="002B391C">
        <w:rPr>
          <w:bCs/>
        </w:rPr>
        <w:t xml:space="preserve"> </w:t>
      </w:r>
      <w:r w:rsidRPr="003C3F9F">
        <w:rPr>
          <w:bCs/>
        </w:rPr>
        <w:t>services in languages represented within the RC’s catchment area. Bilingual or multilingual</w:t>
      </w:r>
      <w:r w:rsidR="002B391C">
        <w:rPr>
          <w:bCs/>
        </w:rPr>
        <w:t xml:space="preserve"> </w:t>
      </w:r>
      <w:r w:rsidRPr="003C3F9F">
        <w:rPr>
          <w:bCs/>
        </w:rPr>
        <w:t>staff will support children with I/DD for the purpose of integration into social and recreational</w:t>
      </w:r>
      <w:r w:rsidR="002B391C">
        <w:rPr>
          <w:bCs/>
        </w:rPr>
        <w:t xml:space="preserve"> </w:t>
      </w:r>
      <w:r w:rsidRPr="003C3F9F">
        <w:rPr>
          <w:bCs/>
        </w:rPr>
        <w:t>programs. Translated documents and educational materials will support access to inclusive</w:t>
      </w:r>
      <w:r w:rsidR="002B391C">
        <w:rPr>
          <w:bCs/>
        </w:rPr>
        <w:t xml:space="preserve"> </w:t>
      </w:r>
      <w:r w:rsidRPr="003C3F9F">
        <w:rPr>
          <w:bCs/>
        </w:rPr>
        <w:t>social and recreational programs. Projects that increase cultural and language access include,</w:t>
      </w:r>
      <w:r w:rsidR="002B391C">
        <w:rPr>
          <w:bCs/>
        </w:rPr>
        <w:t xml:space="preserve"> </w:t>
      </w:r>
      <w:r w:rsidRPr="003C3F9F">
        <w:rPr>
          <w:bCs/>
        </w:rPr>
        <w:t>but are not limited to, the following:</w:t>
      </w:r>
    </w:p>
    <w:p w:rsidR="003C3F9F" w:rsidRDefault="003C3F9F" w:rsidP="004365AA">
      <w:pPr>
        <w:pStyle w:val="ListParagraph"/>
        <w:numPr>
          <w:ilvl w:val="0"/>
          <w:numId w:val="18"/>
        </w:numPr>
        <w:spacing w:line="259" w:lineRule="auto"/>
        <w:jc w:val="both"/>
        <w:rPr>
          <w:bCs/>
        </w:rPr>
      </w:pPr>
      <w:r w:rsidRPr="003C3F9F">
        <w:rPr>
          <w:bCs/>
        </w:rPr>
        <w:t>Increased staffing that reflects underserved communities</w:t>
      </w:r>
    </w:p>
    <w:p w:rsidR="003C3F9F" w:rsidRDefault="003C3F9F" w:rsidP="004365AA">
      <w:pPr>
        <w:pStyle w:val="ListParagraph"/>
        <w:numPr>
          <w:ilvl w:val="0"/>
          <w:numId w:val="18"/>
        </w:numPr>
        <w:spacing w:line="259" w:lineRule="auto"/>
        <w:jc w:val="both"/>
        <w:rPr>
          <w:bCs/>
        </w:rPr>
      </w:pPr>
      <w:r w:rsidRPr="003C3F9F">
        <w:rPr>
          <w:bCs/>
        </w:rPr>
        <w:t>Salary or stipends for bilingual/multilingual staff. Stipends may include additional pay</w:t>
      </w:r>
      <w:r>
        <w:rPr>
          <w:bCs/>
        </w:rPr>
        <w:t xml:space="preserve"> </w:t>
      </w:r>
      <w:r w:rsidRPr="003C3F9F">
        <w:rPr>
          <w:bCs/>
        </w:rPr>
        <w:t>for existing staff that provide bilingual/multilingual direct support to individuals. Stipends</w:t>
      </w:r>
      <w:r>
        <w:rPr>
          <w:bCs/>
        </w:rPr>
        <w:t xml:space="preserve"> </w:t>
      </w:r>
      <w:r w:rsidRPr="003C3F9F">
        <w:rPr>
          <w:bCs/>
        </w:rPr>
        <w:t>must be new pay that was not available prior to the grant project</w:t>
      </w:r>
    </w:p>
    <w:p w:rsidR="003C3F9F" w:rsidRDefault="003C3F9F" w:rsidP="004365AA">
      <w:pPr>
        <w:pStyle w:val="ListParagraph"/>
        <w:numPr>
          <w:ilvl w:val="0"/>
          <w:numId w:val="18"/>
        </w:numPr>
        <w:spacing w:line="259" w:lineRule="auto"/>
        <w:jc w:val="both"/>
        <w:rPr>
          <w:bCs/>
        </w:rPr>
      </w:pPr>
      <w:r w:rsidRPr="003C3F9F">
        <w:rPr>
          <w:bCs/>
        </w:rPr>
        <w:t>Cultural and linguistic competence training</w:t>
      </w:r>
    </w:p>
    <w:p w:rsidR="003C3F9F" w:rsidRPr="003C3F9F" w:rsidRDefault="003C3F9F" w:rsidP="004365AA">
      <w:pPr>
        <w:pStyle w:val="ListParagraph"/>
        <w:numPr>
          <w:ilvl w:val="0"/>
          <w:numId w:val="18"/>
        </w:numPr>
        <w:spacing w:line="259" w:lineRule="auto"/>
        <w:jc w:val="both"/>
        <w:rPr>
          <w:bCs/>
        </w:rPr>
      </w:pPr>
      <w:r w:rsidRPr="003C3F9F">
        <w:rPr>
          <w:bCs/>
        </w:rPr>
        <w:t>Development and review of documents and translation of outreach materials such as</w:t>
      </w:r>
      <w:r>
        <w:rPr>
          <w:bCs/>
        </w:rPr>
        <w:t xml:space="preserve"> </w:t>
      </w:r>
      <w:r w:rsidRPr="003C3F9F">
        <w:rPr>
          <w:bCs/>
        </w:rPr>
        <w:t>registration forms, flyers, web sites and other educational materials in languages that</w:t>
      </w:r>
      <w:r>
        <w:rPr>
          <w:bCs/>
        </w:rPr>
        <w:t xml:space="preserve"> </w:t>
      </w:r>
      <w:r w:rsidRPr="003C3F9F">
        <w:rPr>
          <w:bCs/>
        </w:rPr>
        <w:t>reflect the catchment area</w:t>
      </w:r>
    </w:p>
    <w:p w:rsidR="002B391C" w:rsidRPr="002B391C" w:rsidRDefault="002B391C" w:rsidP="004365AA">
      <w:pPr>
        <w:spacing w:line="259" w:lineRule="auto"/>
        <w:jc w:val="both"/>
        <w:rPr>
          <w:bCs/>
          <w:sz w:val="16"/>
          <w:szCs w:val="16"/>
        </w:rPr>
      </w:pPr>
    </w:p>
    <w:p w:rsidR="003C3F9F" w:rsidRPr="003C3F9F" w:rsidRDefault="003C3F9F" w:rsidP="004365AA">
      <w:pPr>
        <w:spacing w:line="259" w:lineRule="auto"/>
        <w:jc w:val="both"/>
        <w:rPr>
          <w:bCs/>
        </w:rPr>
      </w:pPr>
      <w:r w:rsidRPr="003C3F9F">
        <w:rPr>
          <w:bCs/>
        </w:rPr>
        <w:t>Supplemental Outcome Measures for Increased Accessed to Programs that are Culturally and</w:t>
      </w:r>
      <w:r>
        <w:rPr>
          <w:bCs/>
        </w:rPr>
        <w:t xml:space="preserve"> </w:t>
      </w:r>
      <w:r w:rsidRPr="003C3F9F">
        <w:rPr>
          <w:bCs/>
        </w:rPr>
        <w:t>Linguistically Sensitive Projects at or above $100,000:</w:t>
      </w:r>
    </w:p>
    <w:p w:rsidR="003C3F9F" w:rsidRPr="003C3F9F" w:rsidRDefault="003C3F9F" w:rsidP="004365AA">
      <w:pPr>
        <w:pStyle w:val="ListParagraph"/>
        <w:numPr>
          <w:ilvl w:val="0"/>
          <w:numId w:val="19"/>
        </w:numPr>
        <w:spacing w:line="259" w:lineRule="auto"/>
        <w:jc w:val="both"/>
        <w:rPr>
          <w:bCs/>
        </w:rPr>
      </w:pPr>
      <w:r w:rsidRPr="003C3F9F">
        <w:rPr>
          <w:bCs/>
        </w:rPr>
        <w:t>Number of new culturally and linguistically competent staff hired</w:t>
      </w:r>
    </w:p>
    <w:p w:rsidR="003C3F9F" w:rsidRPr="003C3F9F" w:rsidRDefault="003C3F9F" w:rsidP="004365AA">
      <w:pPr>
        <w:pStyle w:val="ListParagraph"/>
        <w:numPr>
          <w:ilvl w:val="0"/>
          <w:numId w:val="19"/>
        </w:numPr>
        <w:spacing w:line="259" w:lineRule="auto"/>
        <w:jc w:val="both"/>
        <w:rPr>
          <w:bCs/>
        </w:rPr>
      </w:pPr>
      <w:r w:rsidRPr="003C3F9F">
        <w:rPr>
          <w:bCs/>
        </w:rPr>
        <w:lastRenderedPageBreak/>
        <w:t>Number of stipends paid to bilingual/multilingual existing staff</w:t>
      </w:r>
    </w:p>
    <w:p w:rsidR="003C3F9F" w:rsidRPr="003C3F9F" w:rsidRDefault="003C3F9F" w:rsidP="004365AA">
      <w:pPr>
        <w:pStyle w:val="ListParagraph"/>
        <w:numPr>
          <w:ilvl w:val="0"/>
          <w:numId w:val="19"/>
        </w:numPr>
        <w:spacing w:line="259" w:lineRule="auto"/>
        <w:jc w:val="both"/>
        <w:rPr>
          <w:bCs/>
        </w:rPr>
      </w:pPr>
      <w:r w:rsidRPr="003C3F9F">
        <w:rPr>
          <w:bCs/>
        </w:rPr>
        <w:t xml:space="preserve">Number of staff that completed culturally and linguistic competence </w:t>
      </w:r>
      <w:r w:rsidR="002B391C" w:rsidRPr="003C3F9F">
        <w:rPr>
          <w:bCs/>
        </w:rPr>
        <w:t>training.</w:t>
      </w:r>
    </w:p>
    <w:p w:rsidR="003C3F9F" w:rsidRPr="002B391C" w:rsidRDefault="003C3F9F" w:rsidP="002B391C">
      <w:pPr>
        <w:pStyle w:val="ListParagraph"/>
        <w:numPr>
          <w:ilvl w:val="0"/>
          <w:numId w:val="10"/>
        </w:numPr>
        <w:spacing w:line="259" w:lineRule="auto"/>
        <w:ind w:left="1080"/>
        <w:jc w:val="both"/>
        <w:rPr>
          <w:bCs/>
        </w:rPr>
      </w:pPr>
      <w:r w:rsidRPr="002B391C">
        <w:rPr>
          <w:bCs/>
        </w:rPr>
        <w:t>It is recommended that training programs to include an assessment component</w:t>
      </w:r>
      <w:r w:rsidR="002B391C" w:rsidRPr="002B391C">
        <w:rPr>
          <w:bCs/>
        </w:rPr>
        <w:t xml:space="preserve"> </w:t>
      </w:r>
      <w:r w:rsidRPr="002B391C">
        <w:rPr>
          <w:bCs/>
        </w:rPr>
        <w:t>and criteria for participants to meet training competencies such as pre-tests and</w:t>
      </w:r>
      <w:r w:rsidR="002B391C">
        <w:rPr>
          <w:bCs/>
        </w:rPr>
        <w:t xml:space="preserve"> </w:t>
      </w:r>
      <w:r w:rsidRPr="002B391C">
        <w:rPr>
          <w:bCs/>
        </w:rPr>
        <w:t>post-tests. Supporting documentation must be available upon RC’s request.</w:t>
      </w:r>
    </w:p>
    <w:p w:rsidR="003C3F9F" w:rsidRDefault="003C3F9F" w:rsidP="004365AA">
      <w:pPr>
        <w:pStyle w:val="ListParagraph"/>
        <w:numPr>
          <w:ilvl w:val="0"/>
          <w:numId w:val="20"/>
        </w:numPr>
        <w:spacing w:line="259" w:lineRule="auto"/>
        <w:jc w:val="both"/>
        <w:rPr>
          <w:bCs/>
        </w:rPr>
      </w:pPr>
      <w:r w:rsidRPr="003C3F9F">
        <w:rPr>
          <w:bCs/>
        </w:rPr>
        <w:t>Number of training classes related to culturally and linguistically competence training</w:t>
      </w:r>
      <w:r>
        <w:rPr>
          <w:bCs/>
        </w:rPr>
        <w:t xml:space="preserve"> </w:t>
      </w:r>
      <w:r w:rsidRPr="003C3F9F">
        <w:rPr>
          <w:bCs/>
        </w:rPr>
        <w:t>held</w:t>
      </w:r>
    </w:p>
    <w:p w:rsidR="003C3F9F" w:rsidRPr="003C3F9F" w:rsidRDefault="003C3F9F" w:rsidP="004365AA">
      <w:pPr>
        <w:pStyle w:val="ListParagraph"/>
        <w:numPr>
          <w:ilvl w:val="0"/>
          <w:numId w:val="20"/>
        </w:numPr>
        <w:spacing w:line="259" w:lineRule="auto"/>
        <w:jc w:val="both"/>
        <w:rPr>
          <w:bCs/>
        </w:rPr>
      </w:pPr>
      <w:r w:rsidRPr="003C3F9F">
        <w:rPr>
          <w:bCs/>
        </w:rPr>
        <w:t>Number and type of documents and outreach materials translated</w:t>
      </w:r>
    </w:p>
    <w:p w:rsidR="003C3F9F" w:rsidRPr="003C3F9F" w:rsidRDefault="003C3F9F" w:rsidP="004365AA">
      <w:pPr>
        <w:pStyle w:val="ListParagraph"/>
        <w:numPr>
          <w:ilvl w:val="0"/>
          <w:numId w:val="10"/>
        </w:numPr>
        <w:spacing w:line="259" w:lineRule="auto"/>
        <w:jc w:val="both"/>
        <w:rPr>
          <w:bCs/>
        </w:rPr>
      </w:pPr>
      <w:r w:rsidRPr="003C3F9F">
        <w:rPr>
          <w:bCs/>
        </w:rPr>
        <w:t>Examples of documents and outreach materials may include but not be limited to</w:t>
      </w:r>
    </w:p>
    <w:p w:rsidR="003C3F9F" w:rsidRPr="003C3F9F" w:rsidRDefault="003C3F9F" w:rsidP="004365AA">
      <w:pPr>
        <w:spacing w:line="259" w:lineRule="auto"/>
        <w:ind w:left="720" w:firstLine="720"/>
        <w:jc w:val="both"/>
        <w:rPr>
          <w:bCs/>
        </w:rPr>
      </w:pPr>
      <w:r w:rsidRPr="003C3F9F">
        <w:rPr>
          <w:bCs/>
        </w:rPr>
        <w:t>brochures, flyers, registration forms, websites, and other types of educational</w:t>
      </w:r>
    </w:p>
    <w:p w:rsidR="003C3F9F" w:rsidRPr="003C3F9F" w:rsidRDefault="003C3F9F" w:rsidP="004365AA">
      <w:pPr>
        <w:spacing w:line="259" w:lineRule="auto"/>
        <w:ind w:left="1440"/>
        <w:jc w:val="both"/>
        <w:rPr>
          <w:bCs/>
        </w:rPr>
      </w:pPr>
      <w:r w:rsidRPr="003C3F9F">
        <w:rPr>
          <w:bCs/>
        </w:rPr>
        <w:t>information that will be disseminated to the target population</w:t>
      </w:r>
    </w:p>
    <w:p w:rsidR="003C3F9F" w:rsidRDefault="003C3F9F" w:rsidP="004365AA">
      <w:pPr>
        <w:pStyle w:val="ListParagraph"/>
        <w:numPr>
          <w:ilvl w:val="0"/>
          <w:numId w:val="21"/>
        </w:numPr>
        <w:spacing w:line="259" w:lineRule="auto"/>
        <w:jc w:val="both"/>
        <w:rPr>
          <w:bCs/>
        </w:rPr>
      </w:pPr>
      <w:r w:rsidRPr="003C3F9F">
        <w:rPr>
          <w:bCs/>
        </w:rPr>
        <w:t>Other measurable outcomes</w:t>
      </w:r>
    </w:p>
    <w:p w:rsidR="002B391C" w:rsidRDefault="002B391C" w:rsidP="004365AA">
      <w:pPr>
        <w:spacing w:line="259" w:lineRule="auto"/>
        <w:jc w:val="both"/>
        <w:rPr>
          <w:b/>
          <w:sz w:val="28"/>
          <w:szCs w:val="28"/>
        </w:rPr>
      </w:pPr>
    </w:p>
    <w:p w:rsidR="003C3F9F" w:rsidRPr="003C3F9F" w:rsidRDefault="003C3F9F" w:rsidP="004365AA">
      <w:pPr>
        <w:spacing w:line="259" w:lineRule="auto"/>
        <w:jc w:val="both"/>
        <w:rPr>
          <w:b/>
          <w:u w:val="single"/>
        </w:rPr>
      </w:pPr>
      <w:r w:rsidRPr="003C3F9F">
        <w:rPr>
          <w:b/>
          <w:u w:val="single"/>
        </w:rPr>
        <w:t>Project Type: Setting Modification</w:t>
      </w:r>
    </w:p>
    <w:p w:rsidR="003C3F9F" w:rsidRPr="003C3F9F" w:rsidRDefault="003C3F9F" w:rsidP="004365AA">
      <w:pPr>
        <w:spacing w:line="259" w:lineRule="auto"/>
        <w:jc w:val="both"/>
        <w:rPr>
          <w:bCs/>
        </w:rPr>
      </w:pPr>
      <w:r w:rsidRPr="003C3F9F">
        <w:rPr>
          <w:bCs/>
        </w:rPr>
        <w:t>Proposals can include setting modifications that enhance and facilitate equal access to</w:t>
      </w:r>
      <w:r>
        <w:rPr>
          <w:bCs/>
        </w:rPr>
        <w:t xml:space="preserve"> </w:t>
      </w:r>
      <w:r w:rsidRPr="003C3F9F">
        <w:rPr>
          <w:bCs/>
        </w:rPr>
        <w:t>recreational settings and</w:t>
      </w:r>
      <w:r>
        <w:rPr>
          <w:bCs/>
        </w:rPr>
        <w:t xml:space="preserve"> </w:t>
      </w:r>
      <w:r w:rsidRPr="003C3F9F">
        <w:rPr>
          <w:bCs/>
        </w:rPr>
        <w:t>interactions between peers with and without I/DD. Proposals that</w:t>
      </w:r>
      <w:r>
        <w:rPr>
          <w:bCs/>
        </w:rPr>
        <w:t xml:space="preserve"> </w:t>
      </w:r>
      <w:r w:rsidRPr="003C3F9F">
        <w:rPr>
          <w:bCs/>
        </w:rPr>
        <w:t>include modifications for the purposes of meeting American Disability Act (ADA) compliance</w:t>
      </w:r>
      <w:r>
        <w:rPr>
          <w:bCs/>
        </w:rPr>
        <w:t xml:space="preserve"> </w:t>
      </w:r>
      <w:r w:rsidRPr="003C3F9F">
        <w:rPr>
          <w:bCs/>
        </w:rPr>
        <w:t>will not be approved. Proposals must include statute, regulations, or documentation to support</w:t>
      </w:r>
      <w:r>
        <w:rPr>
          <w:bCs/>
        </w:rPr>
        <w:t xml:space="preserve"> </w:t>
      </w:r>
      <w:r w:rsidRPr="003C3F9F">
        <w:rPr>
          <w:bCs/>
        </w:rPr>
        <w:t>that it is not an ADA modification. Modifications are not for capital improvements. Setting</w:t>
      </w:r>
      <w:r>
        <w:rPr>
          <w:bCs/>
        </w:rPr>
        <w:t xml:space="preserve"> </w:t>
      </w:r>
      <w:r w:rsidRPr="003C3F9F">
        <w:rPr>
          <w:bCs/>
        </w:rPr>
        <w:t>modification projects include, but are not limited to, the following:</w:t>
      </w:r>
    </w:p>
    <w:p w:rsidR="003C3F9F" w:rsidRPr="003C3F9F" w:rsidRDefault="003C3F9F" w:rsidP="004365AA">
      <w:pPr>
        <w:pStyle w:val="ListParagraph"/>
        <w:numPr>
          <w:ilvl w:val="0"/>
          <w:numId w:val="21"/>
        </w:numPr>
        <w:spacing w:line="259" w:lineRule="auto"/>
        <w:jc w:val="both"/>
        <w:rPr>
          <w:bCs/>
        </w:rPr>
      </w:pPr>
      <w:r w:rsidRPr="003C3F9F">
        <w:rPr>
          <w:bCs/>
        </w:rPr>
        <w:t>Standing changing stations</w:t>
      </w:r>
    </w:p>
    <w:p w:rsidR="003C3F9F" w:rsidRPr="003C3F9F" w:rsidRDefault="003C3F9F" w:rsidP="004365AA">
      <w:pPr>
        <w:pStyle w:val="ListParagraph"/>
        <w:numPr>
          <w:ilvl w:val="0"/>
          <w:numId w:val="21"/>
        </w:numPr>
        <w:spacing w:line="259" w:lineRule="auto"/>
        <w:jc w:val="both"/>
        <w:rPr>
          <w:bCs/>
        </w:rPr>
      </w:pPr>
      <w:r w:rsidRPr="003C3F9F">
        <w:rPr>
          <w:bCs/>
        </w:rPr>
        <w:t>Wheelchair accessible playground equipment</w:t>
      </w:r>
    </w:p>
    <w:p w:rsidR="002B391C" w:rsidRDefault="002B391C" w:rsidP="004365AA">
      <w:pPr>
        <w:spacing w:line="259" w:lineRule="auto"/>
        <w:jc w:val="both"/>
        <w:rPr>
          <w:bCs/>
        </w:rPr>
      </w:pPr>
    </w:p>
    <w:p w:rsidR="002B391C" w:rsidRPr="003C3F9F" w:rsidRDefault="003C3F9F" w:rsidP="004365AA">
      <w:pPr>
        <w:spacing w:line="259" w:lineRule="auto"/>
        <w:jc w:val="both"/>
        <w:rPr>
          <w:bCs/>
        </w:rPr>
      </w:pPr>
      <w:r w:rsidRPr="003C3F9F">
        <w:rPr>
          <w:bCs/>
        </w:rPr>
        <w:t>Supplemental Outcome Measures for Setting Modification Projects at or above $100,000:</w:t>
      </w:r>
    </w:p>
    <w:p w:rsidR="003C3F9F" w:rsidRPr="003C3F9F" w:rsidRDefault="003C3F9F" w:rsidP="004365AA">
      <w:pPr>
        <w:pStyle w:val="ListParagraph"/>
        <w:numPr>
          <w:ilvl w:val="0"/>
          <w:numId w:val="22"/>
        </w:numPr>
        <w:spacing w:line="259" w:lineRule="auto"/>
        <w:jc w:val="both"/>
        <w:rPr>
          <w:bCs/>
        </w:rPr>
      </w:pPr>
      <w:r w:rsidRPr="003C3F9F">
        <w:rPr>
          <w:bCs/>
        </w:rPr>
        <w:t>Number of setting modifications completed</w:t>
      </w:r>
    </w:p>
    <w:p w:rsidR="003C3F9F" w:rsidRPr="003C3F9F" w:rsidRDefault="003C3F9F" w:rsidP="004365AA">
      <w:pPr>
        <w:pStyle w:val="ListParagraph"/>
        <w:numPr>
          <w:ilvl w:val="0"/>
          <w:numId w:val="22"/>
        </w:numPr>
        <w:spacing w:line="259" w:lineRule="auto"/>
        <w:jc w:val="both"/>
        <w:rPr>
          <w:bCs/>
        </w:rPr>
      </w:pPr>
      <w:r w:rsidRPr="003C3F9F">
        <w:rPr>
          <w:bCs/>
        </w:rPr>
        <w:t>Brief description of progress toward completion of setting modification</w:t>
      </w:r>
    </w:p>
    <w:p w:rsidR="003C3F9F" w:rsidRDefault="003C3F9F" w:rsidP="004365AA">
      <w:pPr>
        <w:pStyle w:val="ListParagraph"/>
        <w:numPr>
          <w:ilvl w:val="0"/>
          <w:numId w:val="22"/>
        </w:numPr>
        <w:spacing w:line="259" w:lineRule="auto"/>
        <w:jc w:val="both"/>
        <w:rPr>
          <w:bCs/>
        </w:rPr>
      </w:pPr>
      <w:r w:rsidRPr="003C3F9F">
        <w:rPr>
          <w:bCs/>
        </w:rPr>
        <w:t>Other measurable outcomes</w:t>
      </w:r>
    </w:p>
    <w:p w:rsidR="003C3F9F" w:rsidRDefault="003C3F9F" w:rsidP="004365AA">
      <w:pPr>
        <w:spacing w:line="259" w:lineRule="auto"/>
        <w:jc w:val="both"/>
        <w:rPr>
          <w:bCs/>
        </w:rPr>
      </w:pPr>
    </w:p>
    <w:p w:rsidR="003C3F9F" w:rsidRPr="003C3F9F" w:rsidRDefault="003C3F9F" w:rsidP="004365AA">
      <w:pPr>
        <w:spacing w:line="259" w:lineRule="auto"/>
        <w:jc w:val="both"/>
        <w:rPr>
          <w:b/>
          <w:u w:val="single"/>
        </w:rPr>
      </w:pPr>
      <w:r w:rsidRPr="003C3F9F">
        <w:rPr>
          <w:b/>
          <w:u w:val="single"/>
        </w:rPr>
        <w:t>Project Type: Transportation</w:t>
      </w:r>
    </w:p>
    <w:p w:rsidR="003C3F9F" w:rsidRPr="003C3F9F" w:rsidRDefault="003C3F9F" w:rsidP="004365AA">
      <w:pPr>
        <w:spacing w:line="259" w:lineRule="auto"/>
        <w:jc w:val="both"/>
        <w:rPr>
          <w:bCs/>
        </w:rPr>
      </w:pPr>
      <w:r w:rsidRPr="003C3F9F">
        <w:rPr>
          <w:bCs/>
        </w:rPr>
        <w:t>Proposals can increase access to inclusive social and recreational programs through</w:t>
      </w:r>
      <w:r>
        <w:rPr>
          <w:bCs/>
        </w:rPr>
        <w:t xml:space="preserve"> </w:t>
      </w:r>
      <w:r w:rsidRPr="003C3F9F">
        <w:rPr>
          <w:bCs/>
        </w:rPr>
        <w:t>transportation. Modifications of vehicle(s) owned by grant applicants must not exceed the</w:t>
      </w:r>
      <w:r>
        <w:rPr>
          <w:bCs/>
        </w:rPr>
        <w:t xml:space="preserve"> </w:t>
      </w:r>
      <w:r w:rsidRPr="003C3F9F">
        <w:rPr>
          <w:bCs/>
        </w:rPr>
        <w:t>value of the vehicle(s).</w:t>
      </w:r>
    </w:p>
    <w:p w:rsidR="002B391C" w:rsidRPr="002B391C" w:rsidRDefault="002B391C" w:rsidP="004365AA">
      <w:pPr>
        <w:spacing w:line="259" w:lineRule="auto"/>
        <w:jc w:val="both"/>
        <w:rPr>
          <w:bCs/>
          <w:sz w:val="16"/>
          <w:szCs w:val="16"/>
        </w:rPr>
      </w:pPr>
    </w:p>
    <w:p w:rsidR="003C3F9F" w:rsidRPr="003C3F9F" w:rsidRDefault="003C3F9F" w:rsidP="004365AA">
      <w:pPr>
        <w:spacing w:line="259" w:lineRule="auto"/>
        <w:jc w:val="both"/>
        <w:rPr>
          <w:bCs/>
        </w:rPr>
      </w:pPr>
      <w:r w:rsidRPr="003C3F9F">
        <w:rPr>
          <w:bCs/>
        </w:rPr>
        <w:t>Transportation projects include, but are not limited to, the following:</w:t>
      </w:r>
    </w:p>
    <w:p w:rsidR="003C3F9F" w:rsidRPr="003C3F9F" w:rsidRDefault="003C3F9F" w:rsidP="004365AA">
      <w:pPr>
        <w:pStyle w:val="ListParagraph"/>
        <w:numPr>
          <w:ilvl w:val="0"/>
          <w:numId w:val="23"/>
        </w:numPr>
        <w:spacing w:line="259" w:lineRule="auto"/>
        <w:jc w:val="both"/>
        <w:rPr>
          <w:bCs/>
        </w:rPr>
      </w:pPr>
      <w:r w:rsidRPr="003C3F9F">
        <w:rPr>
          <w:bCs/>
        </w:rPr>
        <w:t>Funding or passes for use of public transportation</w:t>
      </w:r>
    </w:p>
    <w:p w:rsidR="003C3F9F" w:rsidRPr="003C3F9F" w:rsidRDefault="003C3F9F" w:rsidP="004365AA">
      <w:pPr>
        <w:pStyle w:val="ListParagraph"/>
        <w:numPr>
          <w:ilvl w:val="0"/>
          <w:numId w:val="23"/>
        </w:numPr>
        <w:spacing w:line="259" w:lineRule="auto"/>
        <w:jc w:val="both"/>
        <w:rPr>
          <w:bCs/>
        </w:rPr>
      </w:pPr>
      <w:r w:rsidRPr="003C3F9F">
        <w:rPr>
          <w:bCs/>
        </w:rPr>
        <w:t>Vehicle modification (e.g., adding a wheelchair lift, van conversion)</w:t>
      </w:r>
    </w:p>
    <w:p w:rsidR="003C3F9F" w:rsidRPr="00166EFB" w:rsidRDefault="003C3F9F" w:rsidP="004365AA">
      <w:pPr>
        <w:pStyle w:val="ListParagraph"/>
        <w:numPr>
          <w:ilvl w:val="0"/>
          <w:numId w:val="23"/>
        </w:numPr>
        <w:spacing w:line="259" w:lineRule="auto"/>
        <w:jc w:val="both"/>
        <w:rPr>
          <w:bCs/>
        </w:rPr>
      </w:pPr>
      <w:r w:rsidRPr="00166EFB">
        <w:rPr>
          <w:bCs/>
        </w:rPr>
        <w:t>Pick up and drop off service for children and/or adolescents between the family home</w:t>
      </w:r>
      <w:r w:rsidR="00166EFB">
        <w:rPr>
          <w:bCs/>
        </w:rPr>
        <w:t xml:space="preserve"> </w:t>
      </w:r>
      <w:r w:rsidRPr="00166EFB">
        <w:rPr>
          <w:bCs/>
        </w:rPr>
        <w:t>and a social and recreational program</w:t>
      </w:r>
    </w:p>
    <w:p w:rsidR="002B391C" w:rsidRDefault="002B391C" w:rsidP="004365AA">
      <w:pPr>
        <w:spacing w:line="259" w:lineRule="auto"/>
        <w:jc w:val="both"/>
        <w:rPr>
          <w:bCs/>
        </w:rPr>
      </w:pPr>
    </w:p>
    <w:p w:rsidR="003C3F9F" w:rsidRPr="003C3F9F" w:rsidRDefault="003C3F9F" w:rsidP="004365AA">
      <w:pPr>
        <w:spacing w:line="259" w:lineRule="auto"/>
        <w:jc w:val="both"/>
        <w:rPr>
          <w:bCs/>
        </w:rPr>
      </w:pPr>
      <w:r w:rsidRPr="003C3F9F">
        <w:rPr>
          <w:bCs/>
        </w:rPr>
        <w:t>Supplemental Outcome Measures for Transportation Projects at or above $100,000:</w:t>
      </w:r>
    </w:p>
    <w:p w:rsidR="003C3F9F" w:rsidRPr="00166EFB" w:rsidRDefault="003C3F9F" w:rsidP="004365AA">
      <w:pPr>
        <w:pStyle w:val="ListParagraph"/>
        <w:numPr>
          <w:ilvl w:val="0"/>
          <w:numId w:val="24"/>
        </w:numPr>
        <w:spacing w:line="259" w:lineRule="auto"/>
        <w:jc w:val="both"/>
        <w:rPr>
          <w:bCs/>
        </w:rPr>
      </w:pPr>
      <w:r w:rsidRPr="00166EFB">
        <w:rPr>
          <w:bCs/>
        </w:rPr>
        <w:t>Number of completed vehicle modifications</w:t>
      </w:r>
    </w:p>
    <w:p w:rsidR="003C3F9F" w:rsidRPr="00166EFB" w:rsidRDefault="003C3F9F" w:rsidP="004365AA">
      <w:pPr>
        <w:pStyle w:val="ListParagraph"/>
        <w:numPr>
          <w:ilvl w:val="0"/>
          <w:numId w:val="24"/>
        </w:numPr>
        <w:spacing w:line="259" w:lineRule="auto"/>
        <w:jc w:val="both"/>
        <w:rPr>
          <w:bCs/>
        </w:rPr>
      </w:pPr>
      <w:r w:rsidRPr="00166EFB">
        <w:rPr>
          <w:bCs/>
        </w:rPr>
        <w:t>Brief description of progress toward completion of vehicle modification</w:t>
      </w:r>
    </w:p>
    <w:p w:rsidR="003C3F9F" w:rsidRPr="00166EFB" w:rsidRDefault="003C3F9F" w:rsidP="004365AA">
      <w:pPr>
        <w:pStyle w:val="ListParagraph"/>
        <w:numPr>
          <w:ilvl w:val="0"/>
          <w:numId w:val="24"/>
        </w:numPr>
        <w:spacing w:line="259" w:lineRule="auto"/>
        <w:jc w:val="both"/>
        <w:rPr>
          <w:bCs/>
        </w:rPr>
      </w:pPr>
      <w:r w:rsidRPr="00166EFB">
        <w:rPr>
          <w:bCs/>
        </w:rPr>
        <w:t>Dollar value and number of bus passes provided to individuals</w:t>
      </w:r>
    </w:p>
    <w:p w:rsidR="003C3F9F" w:rsidRPr="00166EFB" w:rsidRDefault="003C3F9F" w:rsidP="004365AA">
      <w:pPr>
        <w:pStyle w:val="ListParagraph"/>
        <w:numPr>
          <w:ilvl w:val="0"/>
          <w:numId w:val="24"/>
        </w:numPr>
        <w:spacing w:line="259" w:lineRule="auto"/>
        <w:jc w:val="both"/>
        <w:rPr>
          <w:bCs/>
        </w:rPr>
      </w:pPr>
      <w:r w:rsidRPr="00166EFB">
        <w:rPr>
          <w:bCs/>
        </w:rPr>
        <w:t>Dollar value and number of vouchers provided to individuals</w:t>
      </w:r>
    </w:p>
    <w:p w:rsidR="003C3F9F" w:rsidRPr="00166EFB" w:rsidRDefault="003C3F9F" w:rsidP="004365AA">
      <w:pPr>
        <w:pStyle w:val="ListParagraph"/>
        <w:numPr>
          <w:ilvl w:val="0"/>
          <w:numId w:val="24"/>
        </w:numPr>
        <w:spacing w:line="259" w:lineRule="auto"/>
        <w:jc w:val="both"/>
        <w:rPr>
          <w:bCs/>
        </w:rPr>
      </w:pPr>
      <w:r w:rsidRPr="00166EFB">
        <w:rPr>
          <w:bCs/>
        </w:rPr>
        <w:lastRenderedPageBreak/>
        <w:t>Number of individuals that used pick up and drop off service. Do not count the same</w:t>
      </w:r>
      <w:r w:rsidR="00166EFB">
        <w:rPr>
          <w:bCs/>
        </w:rPr>
        <w:t xml:space="preserve"> </w:t>
      </w:r>
      <w:r w:rsidRPr="00166EFB">
        <w:rPr>
          <w:bCs/>
        </w:rPr>
        <w:t>individual more than once</w:t>
      </w:r>
    </w:p>
    <w:p w:rsidR="003C3F9F" w:rsidRDefault="003C3F9F" w:rsidP="004365AA">
      <w:pPr>
        <w:pStyle w:val="ListParagraph"/>
        <w:numPr>
          <w:ilvl w:val="0"/>
          <w:numId w:val="24"/>
        </w:numPr>
        <w:spacing w:line="259" w:lineRule="auto"/>
        <w:jc w:val="both"/>
        <w:rPr>
          <w:bCs/>
        </w:rPr>
      </w:pPr>
      <w:r w:rsidRPr="00166EFB">
        <w:rPr>
          <w:bCs/>
        </w:rPr>
        <w:t>Other measurable outcomes</w:t>
      </w:r>
    </w:p>
    <w:p w:rsidR="00166EFB" w:rsidRDefault="00166EFB" w:rsidP="004365AA">
      <w:pPr>
        <w:spacing w:line="259" w:lineRule="auto"/>
        <w:jc w:val="both"/>
        <w:rPr>
          <w:bCs/>
        </w:rPr>
      </w:pPr>
    </w:p>
    <w:p w:rsidR="00166EFB" w:rsidRPr="00166EFB" w:rsidRDefault="00166EFB" w:rsidP="004365AA">
      <w:pPr>
        <w:spacing w:line="259" w:lineRule="auto"/>
        <w:jc w:val="both"/>
        <w:rPr>
          <w:b/>
          <w:u w:val="single"/>
        </w:rPr>
      </w:pPr>
      <w:r w:rsidRPr="00166EFB">
        <w:rPr>
          <w:b/>
          <w:u w:val="single"/>
        </w:rPr>
        <w:t>Project Type: Vendorization Assistance</w:t>
      </w:r>
    </w:p>
    <w:p w:rsidR="00166EFB" w:rsidRPr="00166EFB" w:rsidRDefault="00166EFB" w:rsidP="004365AA">
      <w:pPr>
        <w:spacing w:line="259" w:lineRule="auto"/>
        <w:jc w:val="both"/>
        <w:rPr>
          <w:bCs/>
        </w:rPr>
      </w:pPr>
      <w:r w:rsidRPr="00166EFB">
        <w:rPr>
          <w:bCs/>
        </w:rPr>
        <w:t>Proposals can assist social and recreational programs that are not vendored with a RC pursue</w:t>
      </w:r>
      <w:r>
        <w:rPr>
          <w:bCs/>
        </w:rPr>
        <w:t xml:space="preserve"> </w:t>
      </w:r>
      <w:r w:rsidRPr="00166EFB">
        <w:rPr>
          <w:bCs/>
        </w:rPr>
        <w:t>and obtain vendorization. Vendorization assistant proposals will provide education about</w:t>
      </w:r>
      <w:r>
        <w:rPr>
          <w:bCs/>
        </w:rPr>
        <w:t xml:space="preserve"> </w:t>
      </w:r>
      <w:r w:rsidRPr="00166EFB">
        <w:rPr>
          <w:bCs/>
        </w:rPr>
        <w:t>vendorization requirements and establish a RCs vendorization process to guide the social and</w:t>
      </w:r>
      <w:r>
        <w:rPr>
          <w:bCs/>
        </w:rPr>
        <w:t xml:space="preserve"> </w:t>
      </w:r>
      <w:r w:rsidRPr="00166EFB">
        <w:rPr>
          <w:bCs/>
        </w:rPr>
        <w:t>recreational program. The vendorization assistant will have general knowledge of local social</w:t>
      </w:r>
      <w:r>
        <w:rPr>
          <w:bCs/>
        </w:rPr>
        <w:t xml:space="preserve"> </w:t>
      </w:r>
      <w:r w:rsidRPr="00166EFB">
        <w:rPr>
          <w:bCs/>
        </w:rPr>
        <w:t>and recreational programs for the purpose of assisting the vendor applicant design a program</w:t>
      </w:r>
      <w:r>
        <w:rPr>
          <w:bCs/>
        </w:rPr>
        <w:t xml:space="preserve"> </w:t>
      </w:r>
      <w:r w:rsidRPr="00166EFB">
        <w:rPr>
          <w:bCs/>
        </w:rPr>
        <w:t>that will provide inclusive and integrated social and recreational program opportunities. The</w:t>
      </w:r>
      <w:r>
        <w:rPr>
          <w:bCs/>
        </w:rPr>
        <w:t xml:space="preserve"> </w:t>
      </w:r>
      <w:r w:rsidRPr="00166EFB">
        <w:rPr>
          <w:bCs/>
        </w:rPr>
        <w:t>vendorization assistant will have general knowledge of the RC’s restoration of camping, social</w:t>
      </w:r>
      <w:r>
        <w:rPr>
          <w:bCs/>
        </w:rPr>
        <w:t xml:space="preserve"> </w:t>
      </w:r>
      <w:r w:rsidRPr="00166EFB">
        <w:rPr>
          <w:bCs/>
        </w:rPr>
        <w:t>recreation and other services purchase of service policies.</w:t>
      </w:r>
      <w:r>
        <w:rPr>
          <w:bCs/>
        </w:rPr>
        <w:t xml:space="preserve"> </w:t>
      </w:r>
      <w:r w:rsidRPr="00166EFB">
        <w:rPr>
          <w:bCs/>
        </w:rPr>
        <w:t>Vendorization assistant projects include, but are not limited to, the following:</w:t>
      </w:r>
    </w:p>
    <w:p w:rsidR="002B391C" w:rsidRPr="005C6DF6" w:rsidRDefault="00166EFB" w:rsidP="005C6DF6">
      <w:pPr>
        <w:pStyle w:val="ListParagraph"/>
        <w:numPr>
          <w:ilvl w:val="0"/>
          <w:numId w:val="25"/>
        </w:numPr>
        <w:spacing w:line="259" w:lineRule="auto"/>
        <w:jc w:val="both"/>
        <w:rPr>
          <w:bCs/>
        </w:rPr>
      </w:pPr>
      <w:r w:rsidRPr="00166EFB">
        <w:rPr>
          <w:bCs/>
        </w:rPr>
        <w:t>Education about vendorization requirements</w:t>
      </w:r>
    </w:p>
    <w:p w:rsidR="00166EFB" w:rsidRPr="00166EFB" w:rsidRDefault="00166EFB" w:rsidP="004365AA">
      <w:pPr>
        <w:pStyle w:val="ListParagraph"/>
        <w:numPr>
          <w:ilvl w:val="0"/>
          <w:numId w:val="25"/>
        </w:numPr>
        <w:spacing w:line="259" w:lineRule="auto"/>
        <w:jc w:val="both"/>
        <w:rPr>
          <w:bCs/>
        </w:rPr>
      </w:pPr>
      <w:r w:rsidRPr="00166EFB">
        <w:rPr>
          <w:bCs/>
        </w:rPr>
        <w:t>Program design development</w:t>
      </w:r>
    </w:p>
    <w:p w:rsidR="00166EFB" w:rsidRPr="00166EFB" w:rsidRDefault="00166EFB" w:rsidP="004365AA">
      <w:pPr>
        <w:pStyle w:val="ListParagraph"/>
        <w:numPr>
          <w:ilvl w:val="0"/>
          <w:numId w:val="25"/>
        </w:numPr>
        <w:spacing w:line="259" w:lineRule="auto"/>
        <w:jc w:val="both"/>
        <w:rPr>
          <w:bCs/>
        </w:rPr>
      </w:pPr>
      <w:r w:rsidRPr="00166EFB">
        <w:rPr>
          <w:bCs/>
        </w:rPr>
        <w:t>Collaboration facilitation between the RC and the vendor applicant</w:t>
      </w:r>
    </w:p>
    <w:p w:rsidR="00166EFB" w:rsidRPr="002B391C" w:rsidRDefault="00166EFB" w:rsidP="005D3279">
      <w:pPr>
        <w:pStyle w:val="ListParagraph"/>
        <w:numPr>
          <w:ilvl w:val="0"/>
          <w:numId w:val="25"/>
        </w:numPr>
        <w:spacing w:line="259" w:lineRule="auto"/>
        <w:jc w:val="both"/>
        <w:rPr>
          <w:bCs/>
        </w:rPr>
      </w:pPr>
      <w:r w:rsidRPr="002B391C">
        <w:rPr>
          <w:bCs/>
        </w:rPr>
        <w:t>Assistance with translating vendor applications and completing forms required for</w:t>
      </w:r>
      <w:r w:rsidR="002B391C">
        <w:rPr>
          <w:bCs/>
        </w:rPr>
        <w:t xml:space="preserve"> </w:t>
      </w:r>
      <w:r w:rsidRPr="002B391C">
        <w:rPr>
          <w:bCs/>
        </w:rPr>
        <w:t>vendorization</w:t>
      </w:r>
    </w:p>
    <w:p w:rsidR="00166EFB" w:rsidRDefault="00166EFB" w:rsidP="004365AA">
      <w:pPr>
        <w:pStyle w:val="ListParagraph"/>
        <w:numPr>
          <w:ilvl w:val="0"/>
          <w:numId w:val="26"/>
        </w:numPr>
        <w:spacing w:line="259" w:lineRule="auto"/>
        <w:jc w:val="both"/>
        <w:rPr>
          <w:bCs/>
        </w:rPr>
      </w:pPr>
      <w:r w:rsidRPr="00166EFB">
        <w:rPr>
          <w:bCs/>
        </w:rPr>
        <w:t>Assistance with contract execution between the RC and vendor applicant</w:t>
      </w:r>
    </w:p>
    <w:p w:rsidR="002B391C" w:rsidRDefault="002B391C" w:rsidP="002B391C">
      <w:pPr>
        <w:pStyle w:val="ListParagraph"/>
        <w:spacing w:line="259" w:lineRule="auto"/>
        <w:jc w:val="both"/>
        <w:rPr>
          <w:bCs/>
        </w:rPr>
      </w:pPr>
    </w:p>
    <w:p w:rsidR="00166EFB" w:rsidRPr="00166EFB" w:rsidRDefault="00166EFB" w:rsidP="004365AA">
      <w:pPr>
        <w:spacing w:line="259" w:lineRule="auto"/>
        <w:jc w:val="both"/>
        <w:rPr>
          <w:bCs/>
        </w:rPr>
      </w:pPr>
      <w:r w:rsidRPr="00166EFB">
        <w:rPr>
          <w:bCs/>
        </w:rPr>
        <w:t>Supplemental Outcome Measures for Vendorization Assistant Projects at or above $100,000:</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contacted and inquired about vendorization</w:t>
      </w:r>
      <w:r>
        <w:rPr>
          <w:bCs/>
        </w:rPr>
        <w:t xml:space="preserve"> </w:t>
      </w:r>
      <w:r w:rsidRPr="00166EFB">
        <w:rPr>
          <w:bCs/>
        </w:rPr>
        <w:t>interest with a RC.</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that declined vendorization interest with a</w:t>
      </w:r>
      <w:r>
        <w:rPr>
          <w:bCs/>
        </w:rPr>
        <w:t xml:space="preserve"> </w:t>
      </w:r>
      <w:r w:rsidRPr="00166EFB">
        <w:rPr>
          <w:bCs/>
        </w:rPr>
        <w:t>RC.</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in the vendorization process with a RC.</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in the program design development</w:t>
      </w:r>
      <w:r>
        <w:rPr>
          <w:bCs/>
        </w:rPr>
        <w:t xml:space="preserve"> </w:t>
      </w:r>
      <w:r w:rsidRPr="00166EFB">
        <w:rPr>
          <w:bCs/>
        </w:rPr>
        <w:t>process.</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pending RC application and program</w:t>
      </w:r>
      <w:r>
        <w:rPr>
          <w:bCs/>
        </w:rPr>
        <w:t xml:space="preserve"> </w:t>
      </w:r>
      <w:r w:rsidRPr="00166EFB">
        <w:rPr>
          <w:bCs/>
        </w:rPr>
        <w:t>design review.</w:t>
      </w:r>
    </w:p>
    <w:p w:rsidR="00166EFB" w:rsidRPr="00166EFB" w:rsidRDefault="00166EFB" w:rsidP="004365AA">
      <w:pPr>
        <w:pStyle w:val="ListParagraph"/>
        <w:numPr>
          <w:ilvl w:val="0"/>
          <w:numId w:val="26"/>
        </w:numPr>
        <w:spacing w:line="259" w:lineRule="auto"/>
        <w:jc w:val="both"/>
        <w:rPr>
          <w:bCs/>
        </w:rPr>
      </w:pPr>
      <w:r w:rsidRPr="00166EFB">
        <w:rPr>
          <w:bCs/>
        </w:rPr>
        <w:t>Number of social and recreational programs vendored with a RC.</w:t>
      </w:r>
    </w:p>
    <w:p w:rsidR="003C3F9F" w:rsidRDefault="003C3F9F" w:rsidP="004365AA">
      <w:pPr>
        <w:spacing w:line="259" w:lineRule="auto"/>
        <w:ind w:left="360"/>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5C6DF6" w:rsidRDefault="005C6DF6" w:rsidP="004365AA">
      <w:pPr>
        <w:spacing w:line="259" w:lineRule="auto"/>
        <w:jc w:val="both"/>
        <w:rPr>
          <w:bCs/>
        </w:rPr>
      </w:pPr>
    </w:p>
    <w:p w:rsidR="00734D19" w:rsidRPr="005C6DF6" w:rsidRDefault="00E05D02" w:rsidP="005C6DF6">
      <w:pPr>
        <w:spacing w:line="259" w:lineRule="auto"/>
        <w:jc w:val="both"/>
        <w:rPr>
          <w:b/>
        </w:rPr>
      </w:pPr>
      <w:r w:rsidRPr="005C6DF6">
        <w:rPr>
          <w:b/>
        </w:rPr>
        <w:lastRenderedPageBreak/>
        <w:t>Appendix D</w:t>
      </w:r>
      <w:r w:rsidR="005C6DF6" w:rsidRPr="005C6DF6">
        <w:rPr>
          <w:b/>
        </w:rPr>
        <w:t xml:space="preserve"> </w:t>
      </w:r>
      <w:r w:rsidR="00734D19" w:rsidRPr="005C6DF6">
        <w:rPr>
          <w:b/>
        </w:rPr>
        <w:t>-</w:t>
      </w:r>
      <w:r w:rsidR="005C6DF6" w:rsidRPr="005C6DF6">
        <w:rPr>
          <w:b/>
        </w:rPr>
        <w:t xml:space="preserve"> </w:t>
      </w:r>
      <w:r w:rsidR="00734D19" w:rsidRPr="005C6DF6">
        <w:rPr>
          <w:b/>
        </w:rPr>
        <w:t xml:space="preserve">Link to Form: </w:t>
      </w:r>
      <w:hyperlink r:id="rId30" w:history="1">
        <w:r w:rsidR="00734D19" w:rsidRPr="005C6DF6">
          <w:rPr>
            <w:rStyle w:val="Hyperlink"/>
          </w:rPr>
          <w:t>Definition of Key Terms</w:t>
        </w:r>
      </w:hyperlink>
    </w:p>
    <w:p w:rsidR="00E05D02" w:rsidRPr="005C6DF6" w:rsidRDefault="00E05D02" w:rsidP="004365AA">
      <w:pPr>
        <w:spacing w:line="259" w:lineRule="auto"/>
        <w:jc w:val="both"/>
        <w:rPr>
          <w:b/>
        </w:rPr>
      </w:pPr>
      <w:r w:rsidRPr="005C6DF6">
        <w:rPr>
          <w:b/>
        </w:rPr>
        <w:t xml:space="preserve">Social Rec Grants Definition of Key Terms </w:t>
      </w:r>
    </w:p>
    <w:p w:rsidR="00E05D02" w:rsidRPr="00E05D02" w:rsidRDefault="00E05D02" w:rsidP="004365AA">
      <w:pPr>
        <w:spacing w:line="259" w:lineRule="auto"/>
        <w:jc w:val="both"/>
        <w:rPr>
          <w:b/>
          <w:sz w:val="28"/>
          <w:szCs w:val="28"/>
        </w:rPr>
      </w:pPr>
      <w:r w:rsidRPr="003C3F9F">
        <w:rPr>
          <w:b/>
          <w:noProof/>
          <w:lang w:eastAsia="en-US"/>
        </w:rPr>
        <mc:AlternateContent>
          <mc:Choice Requires="wps">
            <w:drawing>
              <wp:anchor distT="0" distB="0" distL="114300" distR="114300" simplePos="0" relativeHeight="251661312" behindDoc="0" locked="0" layoutInCell="1" allowOverlap="1" wp14:anchorId="2BCF56E2" wp14:editId="15B47830">
                <wp:simplePos x="0" y="0"/>
                <wp:positionH relativeFrom="margin">
                  <wp:align>left</wp:align>
                </wp:positionH>
                <wp:positionV relativeFrom="paragraph">
                  <wp:posOffset>136525</wp:posOffset>
                </wp:positionV>
                <wp:extent cx="6576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64ACA" id="Straight Connector 1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0.75pt" to="517.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wE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" strokecolor="black [3200]" strokeweight=".5pt">
                <v:stroke joinstyle="miter"/>
                <w10:wrap anchorx="margin"/>
              </v:line>
            </w:pict>
          </mc:Fallback>
        </mc:AlternateContent>
      </w:r>
    </w:p>
    <w:p w:rsidR="002B391C" w:rsidRDefault="002B391C" w:rsidP="004365AA">
      <w:pPr>
        <w:spacing w:line="259" w:lineRule="auto"/>
        <w:jc w:val="both"/>
        <w:rPr>
          <w:b/>
          <w:u w:val="single"/>
        </w:rPr>
      </w:pPr>
    </w:p>
    <w:p w:rsidR="00E05D02" w:rsidRPr="00E05D02" w:rsidRDefault="00E05D02" w:rsidP="004365AA">
      <w:pPr>
        <w:spacing w:line="259" w:lineRule="auto"/>
        <w:jc w:val="both"/>
        <w:rPr>
          <w:b/>
          <w:u w:val="single"/>
        </w:rPr>
      </w:pPr>
      <w:r w:rsidRPr="00E05D02">
        <w:rPr>
          <w:b/>
          <w:u w:val="single"/>
        </w:rPr>
        <w:t>Community Based Organizations (CBO)</w:t>
      </w:r>
    </w:p>
    <w:p w:rsidR="00E05D02" w:rsidRPr="00E05D02" w:rsidRDefault="00E05D02" w:rsidP="004365AA">
      <w:pPr>
        <w:spacing w:line="259" w:lineRule="auto"/>
        <w:jc w:val="both"/>
        <w:rPr>
          <w:bCs/>
        </w:rPr>
      </w:pPr>
      <w:r w:rsidRPr="00E05D02">
        <w:rPr>
          <w:bCs/>
        </w:rPr>
        <w:t>For the purposes of this grant, a CBO is defined as a public or private nonprofit, or private for-profit</w:t>
      </w:r>
      <w:r>
        <w:rPr>
          <w:bCs/>
        </w:rPr>
        <w:t xml:space="preserve"> </w:t>
      </w:r>
      <w:r w:rsidRPr="00E05D02">
        <w:rPr>
          <w:bCs/>
        </w:rPr>
        <w:t>organization that is representative of and advocates for a community or significant</w:t>
      </w:r>
      <w:r>
        <w:rPr>
          <w:bCs/>
        </w:rPr>
        <w:t xml:space="preserve"> </w:t>
      </w:r>
      <w:r w:rsidRPr="00E05D02">
        <w:rPr>
          <w:bCs/>
        </w:rPr>
        <w:t>segments of a community.</w:t>
      </w:r>
    </w:p>
    <w:p w:rsidR="00E05D02" w:rsidRPr="00E05D02" w:rsidRDefault="00E05D02" w:rsidP="004365AA">
      <w:pPr>
        <w:spacing w:line="259" w:lineRule="auto"/>
        <w:jc w:val="both"/>
        <w:rPr>
          <w:b/>
          <w:u w:val="single"/>
        </w:rPr>
      </w:pPr>
      <w:r w:rsidRPr="00E05D02">
        <w:rPr>
          <w:b/>
          <w:u w:val="single"/>
        </w:rPr>
        <w:t>General population</w:t>
      </w:r>
    </w:p>
    <w:p w:rsidR="00E05D02" w:rsidRPr="00E05D02" w:rsidRDefault="00E05D02" w:rsidP="004365AA">
      <w:pPr>
        <w:spacing w:line="259" w:lineRule="auto"/>
        <w:jc w:val="both"/>
        <w:rPr>
          <w:bCs/>
        </w:rPr>
      </w:pPr>
      <w:r w:rsidRPr="00E05D02">
        <w:rPr>
          <w:bCs/>
        </w:rPr>
        <w:t>Persons without an intellectual and developmental disability (I/DD) and who are not directly</w:t>
      </w:r>
      <w:r>
        <w:rPr>
          <w:bCs/>
        </w:rPr>
        <w:t xml:space="preserve"> </w:t>
      </w:r>
      <w:r w:rsidRPr="00E05D02">
        <w:rPr>
          <w:bCs/>
        </w:rPr>
        <w:t>served by a RC.</w:t>
      </w:r>
    </w:p>
    <w:p w:rsidR="00E05D02" w:rsidRPr="00E05D02" w:rsidRDefault="00E05D02" w:rsidP="004365AA">
      <w:pPr>
        <w:spacing w:line="259" w:lineRule="auto"/>
        <w:jc w:val="both"/>
        <w:rPr>
          <w:b/>
          <w:u w:val="single"/>
        </w:rPr>
      </w:pPr>
      <w:r w:rsidRPr="00E05D02">
        <w:rPr>
          <w:b/>
          <w:u w:val="single"/>
        </w:rPr>
        <w:t>Goals</w:t>
      </w:r>
    </w:p>
    <w:p w:rsidR="00E05D02" w:rsidRPr="00E05D02" w:rsidRDefault="00E05D02" w:rsidP="004365AA">
      <w:pPr>
        <w:spacing w:line="259" w:lineRule="auto"/>
        <w:jc w:val="both"/>
        <w:rPr>
          <w:bCs/>
        </w:rPr>
      </w:pPr>
      <w:r w:rsidRPr="00E05D02">
        <w:rPr>
          <w:bCs/>
        </w:rPr>
        <w:t>Targets established by the grant applicant for standard outcome measures. Reference Project</w:t>
      </w:r>
      <w:r>
        <w:rPr>
          <w:bCs/>
        </w:rPr>
        <w:t xml:space="preserve"> </w:t>
      </w:r>
      <w:r w:rsidRPr="00E05D02">
        <w:rPr>
          <w:bCs/>
        </w:rPr>
        <w:t>Types and Standard Outcome Measures (A</w:t>
      </w:r>
      <w:r w:rsidR="00734D19">
        <w:rPr>
          <w:bCs/>
        </w:rPr>
        <w:t>ppendix C</w:t>
      </w:r>
      <w:r w:rsidRPr="00E05D02">
        <w:rPr>
          <w:bCs/>
        </w:rPr>
        <w:t>) for project type descriptions,</w:t>
      </w:r>
      <w:r>
        <w:rPr>
          <w:bCs/>
        </w:rPr>
        <w:t xml:space="preserve"> </w:t>
      </w:r>
      <w:r w:rsidRPr="00E05D02">
        <w:rPr>
          <w:bCs/>
        </w:rPr>
        <w:t>standard outcome measures, data collection suggestions and examples.</w:t>
      </w:r>
    </w:p>
    <w:p w:rsidR="00E05D02" w:rsidRPr="00E05D02" w:rsidRDefault="00E05D02" w:rsidP="004365AA">
      <w:pPr>
        <w:spacing w:line="259" w:lineRule="auto"/>
        <w:jc w:val="both"/>
        <w:rPr>
          <w:b/>
          <w:u w:val="single"/>
        </w:rPr>
      </w:pPr>
      <w:r w:rsidRPr="00E05D02">
        <w:rPr>
          <w:b/>
          <w:u w:val="single"/>
        </w:rPr>
        <w:t>Individuals</w:t>
      </w:r>
    </w:p>
    <w:p w:rsidR="00E05D02" w:rsidRPr="00E05D02" w:rsidRDefault="00E05D02" w:rsidP="004365AA">
      <w:pPr>
        <w:spacing w:line="259" w:lineRule="auto"/>
        <w:jc w:val="both"/>
        <w:rPr>
          <w:bCs/>
        </w:rPr>
      </w:pPr>
      <w:r w:rsidRPr="00E05D02">
        <w:rPr>
          <w:bCs/>
        </w:rPr>
        <w:t>Persons served by a regional center who have an I/DD.</w:t>
      </w:r>
    </w:p>
    <w:p w:rsidR="00E05D02" w:rsidRPr="00E05D02" w:rsidRDefault="00E05D02" w:rsidP="004365AA">
      <w:pPr>
        <w:spacing w:line="259" w:lineRule="auto"/>
        <w:jc w:val="both"/>
        <w:rPr>
          <w:b/>
          <w:u w:val="single"/>
        </w:rPr>
      </w:pPr>
      <w:r w:rsidRPr="00E05D02">
        <w:rPr>
          <w:b/>
          <w:u w:val="single"/>
        </w:rPr>
        <w:t>One-Page Profile</w:t>
      </w:r>
    </w:p>
    <w:p w:rsidR="00E05D02" w:rsidRPr="00E05D02" w:rsidRDefault="00E05D02" w:rsidP="004365AA">
      <w:pPr>
        <w:spacing w:line="259" w:lineRule="auto"/>
        <w:jc w:val="both"/>
        <w:rPr>
          <w:bCs/>
        </w:rPr>
      </w:pPr>
      <w:r w:rsidRPr="00E05D02">
        <w:rPr>
          <w:bCs/>
        </w:rPr>
        <w:t>A one-page profile is a document that informs staff and peers about the child or adolescent</w:t>
      </w:r>
      <w:r>
        <w:rPr>
          <w:bCs/>
        </w:rPr>
        <w:t xml:space="preserve"> </w:t>
      </w:r>
      <w:r w:rsidRPr="00E05D02">
        <w:rPr>
          <w:bCs/>
        </w:rPr>
        <w:t>with I/DD and how to best support during the program activities. A one-page profile typically</w:t>
      </w:r>
      <w:r>
        <w:rPr>
          <w:bCs/>
        </w:rPr>
        <w:t xml:space="preserve"> </w:t>
      </w:r>
      <w:r w:rsidRPr="00E05D02">
        <w:rPr>
          <w:bCs/>
        </w:rPr>
        <w:t>captures important information about the person in three headings: what people appreciate</w:t>
      </w:r>
      <w:r>
        <w:rPr>
          <w:bCs/>
        </w:rPr>
        <w:t xml:space="preserve"> </w:t>
      </w:r>
      <w:r w:rsidRPr="00E05D02">
        <w:rPr>
          <w:bCs/>
        </w:rPr>
        <w:t>about the person, what’s important to the person, and how to best support the person. Consult</w:t>
      </w:r>
      <w:r>
        <w:rPr>
          <w:bCs/>
        </w:rPr>
        <w:t xml:space="preserve"> </w:t>
      </w:r>
      <w:r w:rsidRPr="00E05D02">
        <w:rPr>
          <w:bCs/>
        </w:rPr>
        <w:t>your RC to discuss how a one-page profile may be created for the child being supported</w:t>
      </w:r>
      <w:r>
        <w:rPr>
          <w:bCs/>
        </w:rPr>
        <w:t xml:space="preserve"> </w:t>
      </w:r>
      <w:r w:rsidRPr="00E05D02">
        <w:rPr>
          <w:bCs/>
        </w:rPr>
        <w:t>(</w:t>
      </w:r>
      <w:r w:rsidRPr="002B391C">
        <w:rPr>
          <w:bCs/>
          <w:color w:val="0000FF"/>
        </w:rPr>
        <w:t>Resource:http://helensandersonassociates.co.uk/person-centred-practice/one-page-profiles/</w:t>
      </w:r>
      <w:r w:rsidRPr="00E05D02">
        <w:rPr>
          <w:bCs/>
        </w:rPr>
        <w:t>)</w:t>
      </w:r>
    </w:p>
    <w:p w:rsidR="00E05D02" w:rsidRPr="00E05D02" w:rsidRDefault="00E05D02" w:rsidP="004365AA">
      <w:pPr>
        <w:spacing w:line="259" w:lineRule="auto"/>
        <w:jc w:val="both"/>
        <w:rPr>
          <w:bCs/>
        </w:rPr>
      </w:pPr>
      <w:r w:rsidRPr="00E05D02">
        <w:rPr>
          <w:b/>
          <w:u w:val="single"/>
        </w:rPr>
        <w:t>Person Centered Planning (PCP)</w:t>
      </w:r>
    </w:p>
    <w:p w:rsidR="00E05D02" w:rsidRPr="00E05D02" w:rsidRDefault="00E05D02" w:rsidP="004365AA">
      <w:pPr>
        <w:spacing w:line="259" w:lineRule="auto"/>
        <w:jc w:val="both"/>
        <w:rPr>
          <w:bCs/>
        </w:rPr>
      </w:pPr>
      <w:r w:rsidRPr="00E05D02">
        <w:rPr>
          <w:bCs/>
        </w:rPr>
        <w:t>PCP helps the person being supported to explore and share what a meaningful life looks like</w:t>
      </w:r>
      <w:r>
        <w:rPr>
          <w:bCs/>
        </w:rPr>
        <w:t xml:space="preserve"> </w:t>
      </w:r>
      <w:r w:rsidRPr="00E05D02">
        <w:rPr>
          <w:bCs/>
        </w:rPr>
        <w:t>for them and to describe the supports needed to achieve that life. The planning process may</w:t>
      </w:r>
      <w:r>
        <w:rPr>
          <w:bCs/>
        </w:rPr>
        <w:t xml:space="preserve"> </w:t>
      </w:r>
      <w:r w:rsidRPr="00E05D02">
        <w:rPr>
          <w:bCs/>
        </w:rPr>
        <w:t>include the discovery of various person-centered skills including but not limited to: What is</w:t>
      </w:r>
      <w:r>
        <w:rPr>
          <w:bCs/>
        </w:rPr>
        <w:t xml:space="preserve"> </w:t>
      </w:r>
      <w:r w:rsidRPr="00E05D02">
        <w:rPr>
          <w:bCs/>
        </w:rPr>
        <w:t>important TO the person’ What is important FOR the person; What supports the person needs</w:t>
      </w:r>
      <w:r>
        <w:rPr>
          <w:bCs/>
        </w:rPr>
        <w:t xml:space="preserve"> </w:t>
      </w:r>
      <w:r w:rsidRPr="00E05D02">
        <w:rPr>
          <w:bCs/>
        </w:rPr>
        <w:t>to have a good balance between important TO and Important FOR; or Good Day/Bad Day.</w:t>
      </w:r>
      <w:r>
        <w:rPr>
          <w:bCs/>
        </w:rPr>
        <w:t xml:space="preserve"> </w:t>
      </w:r>
      <w:r w:rsidRPr="00E05D02">
        <w:rPr>
          <w:bCs/>
        </w:rPr>
        <w:t>Consult with the RC Designee to discuss how PCP may be explored. (Resource:</w:t>
      </w:r>
      <w:r>
        <w:rPr>
          <w:bCs/>
        </w:rPr>
        <w:t xml:space="preserve"> </w:t>
      </w:r>
      <w:r w:rsidRPr="00E05D02">
        <w:rPr>
          <w:bCs/>
        </w:rPr>
        <w:t>https://tlcpcp.com/about-us/)</w:t>
      </w:r>
    </w:p>
    <w:p w:rsidR="00E05D02" w:rsidRPr="00E05D02" w:rsidRDefault="00E05D02" w:rsidP="004365AA">
      <w:pPr>
        <w:spacing w:line="259" w:lineRule="auto"/>
        <w:jc w:val="both"/>
        <w:rPr>
          <w:b/>
          <w:u w:val="single"/>
        </w:rPr>
      </w:pPr>
      <w:r w:rsidRPr="00E05D02">
        <w:rPr>
          <w:b/>
          <w:u w:val="single"/>
        </w:rPr>
        <w:t>Project Type</w:t>
      </w:r>
    </w:p>
    <w:p w:rsidR="00E05D02" w:rsidRPr="00E05D02" w:rsidRDefault="00E05D02" w:rsidP="004365AA">
      <w:pPr>
        <w:spacing w:line="259" w:lineRule="auto"/>
        <w:jc w:val="both"/>
        <w:rPr>
          <w:bCs/>
        </w:rPr>
      </w:pPr>
      <w:r w:rsidRPr="00E05D02">
        <w:rPr>
          <w:bCs/>
        </w:rPr>
        <w:t>The Department has created seven different project types that describe broad categories of</w:t>
      </w:r>
      <w:r>
        <w:rPr>
          <w:bCs/>
        </w:rPr>
        <w:t xml:space="preserve"> </w:t>
      </w:r>
      <w:r w:rsidRPr="00E05D02">
        <w:rPr>
          <w:bCs/>
        </w:rPr>
        <w:t>grant projects. Descriptions and examples of project types are described in Project Types and</w:t>
      </w:r>
      <w:r>
        <w:rPr>
          <w:bCs/>
        </w:rPr>
        <w:t xml:space="preserve"> </w:t>
      </w:r>
      <w:r w:rsidRPr="00E05D02">
        <w:rPr>
          <w:bCs/>
        </w:rPr>
        <w:t>Standard Outcome Measures</w:t>
      </w:r>
      <w:r>
        <w:rPr>
          <w:bCs/>
        </w:rPr>
        <w:t xml:space="preserve"> (Appendix C)</w:t>
      </w:r>
      <w:r w:rsidRPr="00E05D02">
        <w:rPr>
          <w:bCs/>
        </w:rPr>
        <w:t>. Each grant applicant will select one or more</w:t>
      </w:r>
      <w:r>
        <w:rPr>
          <w:bCs/>
        </w:rPr>
        <w:t xml:space="preserve"> </w:t>
      </w:r>
      <w:r w:rsidRPr="00E05D02">
        <w:rPr>
          <w:bCs/>
        </w:rPr>
        <w:t>of the seven project types that best describe their grant program. Only one Letter of Intent</w:t>
      </w:r>
      <w:r>
        <w:rPr>
          <w:bCs/>
        </w:rPr>
        <w:t xml:space="preserve"> </w:t>
      </w:r>
      <w:r w:rsidRPr="00E05D02">
        <w:rPr>
          <w:bCs/>
        </w:rPr>
        <w:t>(A</w:t>
      </w:r>
      <w:r w:rsidR="00734D19">
        <w:rPr>
          <w:bCs/>
        </w:rPr>
        <w:t>ppendix A</w:t>
      </w:r>
      <w:r w:rsidRPr="00E05D02">
        <w:rPr>
          <w:bCs/>
        </w:rPr>
        <w:t>) is required for grant proposals that include one or multiple project types.</w:t>
      </w:r>
    </w:p>
    <w:p w:rsidR="00E05D02" w:rsidRPr="00E05D02" w:rsidRDefault="00E05D02" w:rsidP="004365AA">
      <w:pPr>
        <w:spacing w:line="259" w:lineRule="auto"/>
        <w:jc w:val="both"/>
        <w:rPr>
          <w:b/>
          <w:u w:val="single"/>
        </w:rPr>
      </w:pPr>
      <w:r w:rsidRPr="00E05D02">
        <w:rPr>
          <w:b/>
          <w:u w:val="single"/>
        </w:rPr>
        <w:t>Regional Center Designee</w:t>
      </w:r>
    </w:p>
    <w:p w:rsidR="00E05D02" w:rsidRPr="00E05D02" w:rsidRDefault="00E05D02" w:rsidP="004365AA">
      <w:pPr>
        <w:spacing w:line="259" w:lineRule="auto"/>
        <w:jc w:val="both"/>
        <w:rPr>
          <w:bCs/>
        </w:rPr>
      </w:pPr>
      <w:r w:rsidRPr="00E05D02">
        <w:rPr>
          <w:bCs/>
        </w:rPr>
        <w:t>The lead person the RC designates to provide oversight and monitoring of the grant project.</w:t>
      </w:r>
      <w:r>
        <w:rPr>
          <w:bCs/>
        </w:rPr>
        <w:t xml:space="preserve"> </w:t>
      </w:r>
      <w:r w:rsidRPr="00E05D02">
        <w:rPr>
          <w:bCs/>
        </w:rPr>
        <w:t>RC staff that may provide technical assistance to the grantee. See Regional Center Directory</w:t>
      </w:r>
      <w:r>
        <w:rPr>
          <w:bCs/>
        </w:rPr>
        <w:t xml:space="preserve"> (Appendix E</w:t>
      </w:r>
      <w:r w:rsidRPr="00E05D02">
        <w:rPr>
          <w:bCs/>
        </w:rPr>
        <w:t>) for a list of RC designees.</w:t>
      </w:r>
    </w:p>
    <w:p w:rsidR="00FE7529" w:rsidRDefault="00FE7529" w:rsidP="004365AA">
      <w:pPr>
        <w:spacing w:line="259" w:lineRule="auto"/>
        <w:jc w:val="both"/>
        <w:rPr>
          <w:b/>
          <w:u w:val="single"/>
        </w:rPr>
      </w:pPr>
    </w:p>
    <w:p w:rsidR="00FE7529" w:rsidRDefault="00FE7529" w:rsidP="004365AA">
      <w:pPr>
        <w:spacing w:line="259" w:lineRule="auto"/>
        <w:jc w:val="both"/>
        <w:rPr>
          <w:b/>
          <w:u w:val="single"/>
        </w:rPr>
      </w:pPr>
    </w:p>
    <w:p w:rsidR="00E05D02" w:rsidRPr="00E05D02" w:rsidRDefault="00E05D02" w:rsidP="004365AA">
      <w:pPr>
        <w:spacing w:line="259" w:lineRule="auto"/>
        <w:jc w:val="both"/>
        <w:rPr>
          <w:b/>
          <w:u w:val="single"/>
        </w:rPr>
      </w:pPr>
      <w:r w:rsidRPr="00E05D02">
        <w:rPr>
          <w:b/>
          <w:u w:val="single"/>
        </w:rPr>
        <w:lastRenderedPageBreak/>
        <w:t>Regional Centers (RCs)</w:t>
      </w:r>
    </w:p>
    <w:p w:rsidR="00E05D02" w:rsidRPr="00E05D02" w:rsidRDefault="00E05D02" w:rsidP="004365AA">
      <w:pPr>
        <w:spacing w:line="259" w:lineRule="auto"/>
        <w:jc w:val="both"/>
        <w:rPr>
          <w:bCs/>
        </w:rPr>
      </w:pPr>
      <w:r w:rsidRPr="00E05D02">
        <w:rPr>
          <w:bCs/>
        </w:rPr>
        <w:t>RCs are private nonprofit corporations that contract with the Department to provide or</w:t>
      </w:r>
      <w:r>
        <w:rPr>
          <w:bCs/>
        </w:rPr>
        <w:t xml:space="preserve"> </w:t>
      </w:r>
      <w:r w:rsidRPr="00E05D02">
        <w:rPr>
          <w:bCs/>
        </w:rPr>
        <w:t>coordinate services and supports for individuals with I/DD. There are 21 RCs in California. See</w:t>
      </w:r>
      <w:r>
        <w:rPr>
          <w:bCs/>
        </w:rPr>
        <w:t xml:space="preserve"> </w:t>
      </w:r>
      <w:r w:rsidRPr="00E05D02">
        <w:rPr>
          <w:bCs/>
        </w:rPr>
        <w:t>Map of Regional Center System (</w:t>
      </w:r>
      <w:r>
        <w:rPr>
          <w:bCs/>
        </w:rPr>
        <w:t>Link on page1</w:t>
      </w:r>
      <w:r w:rsidRPr="00E05D02">
        <w:rPr>
          <w:bCs/>
        </w:rPr>
        <w:t>).</w:t>
      </w:r>
    </w:p>
    <w:p w:rsidR="00E05D02" w:rsidRPr="00E05D02" w:rsidRDefault="00E05D02" w:rsidP="004365AA">
      <w:pPr>
        <w:spacing w:line="259" w:lineRule="auto"/>
        <w:jc w:val="both"/>
        <w:rPr>
          <w:b/>
          <w:u w:val="single"/>
        </w:rPr>
      </w:pPr>
      <w:r w:rsidRPr="00E05D02">
        <w:rPr>
          <w:b/>
          <w:u w:val="single"/>
        </w:rPr>
        <w:t>Standard Outcome Measures</w:t>
      </w:r>
    </w:p>
    <w:p w:rsidR="00E05D02" w:rsidRDefault="00E05D02" w:rsidP="004365AA">
      <w:pPr>
        <w:spacing w:line="259" w:lineRule="auto"/>
        <w:jc w:val="both"/>
        <w:rPr>
          <w:bCs/>
        </w:rPr>
      </w:pPr>
      <w:r w:rsidRPr="00E05D02">
        <w:rPr>
          <w:bCs/>
        </w:rPr>
        <w:t>Outcome Measures are standard data points used to measure the progress and outcomes of</w:t>
      </w:r>
      <w:r>
        <w:rPr>
          <w:bCs/>
        </w:rPr>
        <w:t xml:space="preserve"> </w:t>
      </w:r>
      <w:r w:rsidRPr="00E05D02">
        <w:rPr>
          <w:bCs/>
        </w:rPr>
        <w:t>grant projects. Standard outcome measures have been developed for each project type. For</w:t>
      </w:r>
      <w:r>
        <w:rPr>
          <w:bCs/>
        </w:rPr>
        <w:t xml:space="preserve"> </w:t>
      </w:r>
      <w:r w:rsidRPr="00E05D02">
        <w:rPr>
          <w:bCs/>
        </w:rPr>
        <w:t>more information on outcome measures, see Project Types and Standard Outcome Measures</w:t>
      </w:r>
      <w:r>
        <w:rPr>
          <w:bCs/>
        </w:rPr>
        <w:t xml:space="preserve"> </w:t>
      </w:r>
      <w:r w:rsidRPr="00E05D02">
        <w:rPr>
          <w:bCs/>
        </w:rPr>
        <w:t>(A</w:t>
      </w:r>
      <w:r>
        <w:rPr>
          <w:bCs/>
        </w:rPr>
        <w:t xml:space="preserve">ppendix </w:t>
      </w:r>
      <w:r w:rsidR="00734D19">
        <w:rPr>
          <w:bCs/>
        </w:rPr>
        <w:t>C</w:t>
      </w:r>
      <w:r w:rsidRPr="00E05D02">
        <w:rPr>
          <w:bCs/>
        </w:rPr>
        <w:t>).</w:t>
      </w:r>
    </w:p>
    <w:p w:rsidR="00734D19" w:rsidRPr="005C6DF6" w:rsidRDefault="00734D19" w:rsidP="004365AA">
      <w:pPr>
        <w:spacing w:line="259" w:lineRule="auto"/>
        <w:jc w:val="both"/>
        <w:rPr>
          <w:bC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5C6DF6" w:rsidRDefault="005C6DF6" w:rsidP="00734D19">
      <w:pPr>
        <w:rPr>
          <w:b/>
          <w:bCs/>
          <w:color w:val="000000"/>
          <w:lang w:bidi="en-US"/>
        </w:rPr>
      </w:pPr>
    </w:p>
    <w:p w:rsidR="00734D19" w:rsidRPr="005C6DF6" w:rsidRDefault="00734D19" w:rsidP="00734D19">
      <w:pPr>
        <w:rPr>
          <w:b/>
          <w:bCs/>
          <w:color w:val="000000"/>
          <w:lang w:bidi="en-US"/>
        </w:rPr>
      </w:pPr>
      <w:r w:rsidRPr="005C6DF6">
        <w:rPr>
          <w:b/>
          <w:bCs/>
          <w:color w:val="000000"/>
          <w:lang w:bidi="en-US"/>
        </w:rPr>
        <w:lastRenderedPageBreak/>
        <w:t xml:space="preserve">Appendix </w:t>
      </w:r>
      <w:r w:rsidR="008F3023" w:rsidRPr="005C6DF6">
        <w:rPr>
          <w:b/>
          <w:bCs/>
          <w:color w:val="000000"/>
          <w:lang w:bidi="en-US"/>
        </w:rPr>
        <w:t>E</w:t>
      </w:r>
      <w:r w:rsidRPr="005C6DF6">
        <w:rPr>
          <w:b/>
          <w:bCs/>
          <w:color w:val="000000"/>
          <w:lang w:bidi="en-US"/>
        </w:rPr>
        <w:t>- Link to Full Directory:</w:t>
      </w:r>
      <w:r w:rsidRPr="005C6DF6">
        <w:t xml:space="preserve"> </w:t>
      </w:r>
      <w:hyperlink r:id="rId31" w:history="1">
        <w:r w:rsidRPr="005C6DF6">
          <w:rPr>
            <w:rStyle w:val="Hyperlink"/>
          </w:rPr>
          <w:t>Regional Center Directory</w:t>
        </w:r>
      </w:hyperlink>
    </w:p>
    <w:p w:rsidR="00734D19" w:rsidRPr="003C3F9F" w:rsidRDefault="00734D19" w:rsidP="00734D19">
      <w:pPr>
        <w:rPr>
          <w:color w:val="000000"/>
          <w:szCs w:val="23"/>
          <w:lang w:bidi="en-US"/>
        </w:rPr>
      </w:pPr>
    </w:p>
    <w:p w:rsidR="00734D19" w:rsidRPr="003C3F9F" w:rsidRDefault="00734D19" w:rsidP="00734D19">
      <w:pPr>
        <w:rPr>
          <w:b/>
          <w:bCs/>
          <w:color w:val="000000"/>
          <w:sz w:val="28"/>
          <w:szCs w:val="28"/>
          <w:lang w:bidi="en-US"/>
        </w:rPr>
      </w:pPr>
    </w:p>
    <w:p w:rsidR="00734D19" w:rsidRPr="003C3F9F" w:rsidRDefault="001969AC" w:rsidP="00734D19">
      <w:pPr>
        <w:spacing w:line="259" w:lineRule="auto"/>
        <w:rPr>
          <w:bCs/>
        </w:rPr>
      </w:pPr>
      <w:r>
        <w:rPr>
          <w:bCs/>
          <w:noProof/>
          <w:lang w:eastAsia="en-US"/>
        </w:rPr>
        <w:drawing>
          <wp:inline distT="0" distB="0" distL="0" distR="0">
            <wp:extent cx="6400800" cy="491299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PNG"/>
                    <pic:cNvPicPr/>
                  </pic:nvPicPr>
                  <pic:blipFill>
                    <a:blip r:embed="rId32">
                      <a:extLst>
                        <a:ext uri="{28A0092B-C50C-407E-A947-70E740481C1C}">
                          <a14:useLocalDpi xmlns:a14="http://schemas.microsoft.com/office/drawing/2010/main" val="0"/>
                        </a:ext>
                      </a:extLst>
                    </a:blip>
                    <a:stretch>
                      <a:fillRect/>
                    </a:stretch>
                  </pic:blipFill>
                  <pic:spPr>
                    <a:xfrm>
                      <a:off x="0" y="0"/>
                      <a:ext cx="6400800" cy="4912995"/>
                    </a:xfrm>
                    <a:prstGeom prst="rect">
                      <a:avLst/>
                    </a:prstGeom>
                  </pic:spPr>
                </pic:pic>
              </a:graphicData>
            </a:graphic>
          </wp:inline>
        </w:drawing>
      </w:r>
    </w:p>
    <w:sectPr w:rsidR="00734D19" w:rsidRPr="003C3F9F" w:rsidSect="000159DD">
      <w:type w:val="continuous"/>
      <w:pgSz w:w="12240" w:h="15840"/>
      <w:pgMar w:top="1440" w:right="1080" w:bottom="1440" w:left="1080" w:header="115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4A" w:rsidRDefault="00570E4A" w:rsidP="00A60101">
      <w:r>
        <w:separator/>
      </w:r>
    </w:p>
  </w:endnote>
  <w:endnote w:type="continuationSeparator" w:id="0">
    <w:p w:rsidR="00570E4A" w:rsidRDefault="00570E4A" w:rsidP="00A6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80575"/>
      <w:docPartObj>
        <w:docPartGallery w:val="Page Numbers (Bottom of Page)"/>
        <w:docPartUnique/>
      </w:docPartObj>
    </w:sdtPr>
    <w:sdtEndPr>
      <w:rPr>
        <w:noProof/>
      </w:rPr>
    </w:sdtEndPr>
    <w:sdtContent>
      <w:p w:rsidR="006734B4" w:rsidRDefault="006734B4">
        <w:pPr>
          <w:pStyle w:val="Footer"/>
          <w:jc w:val="right"/>
        </w:pPr>
        <w:r>
          <w:fldChar w:fldCharType="begin"/>
        </w:r>
        <w:r>
          <w:instrText xml:space="preserve"> PAGE   \* MERGEFORMAT </w:instrText>
        </w:r>
        <w:r>
          <w:fldChar w:fldCharType="separate"/>
        </w:r>
        <w:r w:rsidR="00B452C9">
          <w:rPr>
            <w:noProof/>
          </w:rPr>
          <w:t>1</w:t>
        </w:r>
        <w:r>
          <w:rPr>
            <w:noProof/>
          </w:rPr>
          <w:fldChar w:fldCharType="end"/>
        </w:r>
      </w:p>
    </w:sdtContent>
  </w:sdt>
  <w:p w:rsidR="006734B4" w:rsidRDefault="0067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4A" w:rsidRDefault="00570E4A" w:rsidP="00A60101">
      <w:r>
        <w:separator/>
      </w:r>
    </w:p>
  </w:footnote>
  <w:footnote w:type="continuationSeparator" w:id="0">
    <w:p w:rsidR="00570E4A" w:rsidRDefault="00570E4A" w:rsidP="00A6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08"/>
      <w:gridCol w:w="1080"/>
      <w:gridCol w:w="4460"/>
    </w:tblGrid>
    <w:tr w:rsidR="00A73FDF" w:rsidRPr="00160B66" w:rsidTr="00361A5F">
      <w:tc>
        <w:tcPr>
          <w:tcW w:w="4608" w:type="dxa"/>
        </w:tcPr>
        <w:p w:rsidR="00A73FDF" w:rsidRPr="00160B66" w:rsidRDefault="00A73FDF" w:rsidP="00A73FDF">
          <w:pPr>
            <w:pStyle w:val="Default"/>
            <w:jc w:val="right"/>
            <w:rPr>
              <w:rFonts w:cs="Arial"/>
              <w:snapToGrid/>
              <w:sz w:val="36"/>
            </w:rPr>
          </w:pPr>
          <w:r>
            <w:rPr>
              <w:rFonts w:cs="Arial"/>
              <w:snapToGrid/>
              <w:sz w:val="36"/>
            </w:rPr>
            <w:t xml:space="preserve">   </w:t>
          </w:r>
          <w:r w:rsidRPr="00160B66">
            <w:rPr>
              <w:rFonts w:cs="Arial"/>
              <w:snapToGrid/>
              <w:sz w:val="36"/>
            </w:rPr>
            <w:t>FRANK D. LANTERMAN</w:t>
          </w:r>
        </w:p>
      </w:tc>
      <w:tc>
        <w:tcPr>
          <w:tcW w:w="1080" w:type="dxa"/>
        </w:tcPr>
        <w:p w:rsidR="00A73FDF" w:rsidRPr="00160B66" w:rsidRDefault="00A73FDF" w:rsidP="00A73FDF">
          <w:pPr>
            <w:rPr>
              <w:rFonts w:cs="Arial"/>
            </w:rPr>
          </w:pPr>
        </w:p>
      </w:tc>
      <w:tc>
        <w:tcPr>
          <w:tcW w:w="4460" w:type="dxa"/>
        </w:tcPr>
        <w:p w:rsidR="00A73FDF" w:rsidRPr="00160B66" w:rsidRDefault="00A73FDF" w:rsidP="00A73FDF">
          <w:pPr>
            <w:pStyle w:val="Default"/>
            <w:rPr>
              <w:rFonts w:cs="Arial"/>
              <w:snapToGrid/>
              <w:sz w:val="36"/>
            </w:rPr>
          </w:pPr>
          <w:r w:rsidRPr="00160B66">
            <w:rPr>
              <w:rFonts w:cs="Arial"/>
              <w:snapToGrid/>
              <w:sz w:val="36"/>
            </w:rPr>
            <w:t>REGIONAL CENTER</w:t>
          </w:r>
        </w:p>
      </w:tc>
    </w:tr>
  </w:tbl>
  <w:p w:rsidR="006734B4" w:rsidRDefault="00A73FDF">
    <w:pPr>
      <w:pStyle w:val="Header"/>
    </w:pPr>
    <w:r>
      <w:rPr>
        <w:rFonts w:cs="Arial"/>
        <w:noProof/>
        <w:sz w:val="36"/>
        <w:lang w:eastAsia="en-US"/>
      </w:rPr>
      <w:drawing>
        <wp:anchor distT="0" distB="0" distL="114300" distR="114300" simplePos="0" relativeHeight="251658240" behindDoc="0" locked="0" layoutInCell="0" allowOverlap="1" wp14:editId="29D19DD8">
          <wp:simplePos x="0" y="0"/>
          <wp:positionH relativeFrom="column">
            <wp:posOffset>2877998</wp:posOffset>
          </wp:positionH>
          <wp:positionV relativeFrom="paragraph">
            <wp:posOffset>-474828</wp:posOffset>
          </wp:positionV>
          <wp:extent cx="778098" cy="634517"/>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98" cy="6345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DD" w:rsidRDefault="0001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DD0"/>
    <w:multiLevelType w:val="multilevel"/>
    <w:tmpl w:val="738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2" w15:restartNumberingAfterBreak="0">
    <w:nsid w:val="0B6139AA"/>
    <w:multiLevelType w:val="hybridMultilevel"/>
    <w:tmpl w:val="5382FF02"/>
    <w:lvl w:ilvl="0" w:tplc="00CAB93C">
      <w:start w:val="1"/>
      <w:numFmt w:val="decimal"/>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79354E"/>
    <w:multiLevelType w:val="hybridMultilevel"/>
    <w:tmpl w:val="60ACF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7680B"/>
    <w:multiLevelType w:val="multilevel"/>
    <w:tmpl w:val="50A0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D034F"/>
    <w:multiLevelType w:val="hybridMultilevel"/>
    <w:tmpl w:val="37D67C64"/>
    <w:styleLink w:val="ImportedStyle1"/>
    <w:lvl w:ilvl="0" w:tplc="6D2A81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DAA2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EDA7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19C8F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D206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2979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80644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03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02FD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410663"/>
    <w:multiLevelType w:val="hybridMultilevel"/>
    <w:tmpl w:val="1564EC98"/>
    <w:lvl w:ilvl="0" w:tplc="F224F5B8">
      <w:start w:val="9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D72B9"/>
    <w:multiLevelType w:val="hybridMultilevel"/>
    <w:tmpl w:val="461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C39C9"/>
    <w:multiLevelType w:val="hybridMultilevel"/>
    <w:tmpl w:val="301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E5878"/>
    <w:multiLevelType w:val="hybridMultilevel"/>
    <w:tmpl w:val="AFFA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C435C"/>
    <w:multiLevelType w:val="hybridMultilevel"/>
    <w:tmpl w:val="CF6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6659"/>
    <w:multiLevelType w:val="hybridMultilevel"/>
    <w:tmpl w:val="1256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337F8"/>
    <w:multiLevelType w:val="hybridMultilevel"/>
    <w:tmpl w:val="B482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D5956"/>
    <w:multiLevelType w:val="hybridMultilevel"/>
    <w:tmpl w:val="52A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549F"/>
    <w:multiLevelType w:val="hybridMultilevel"/>
    <w:tmpl w:val="E4E25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E523A"/>
    <w:multiLevelType w:val="hybridMultilevel"/>
    <w:tmpl w:val="E40A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D631B"/>
    <w:multiLevelType w:val="hybridMultilevel"/>
    <w:tmpl w:val="2E062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A4D9C"/>
    <w:multiLevelType w:val="hybridMultilevel"/>
    <w:tmpl w:val="C05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95E4B"/>
    <w:multiLevelType w:val="hybridMultilevel"/>
    <w:tmpl w:val="4FB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26E31"/>
    <w:multiLevelType w:val="hybridMultilevel"/>
    <w:tmpl w:val="40DC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C24C3"/>
    <w:multiLevelType w:val="hybridMultilevel"/>
    <w:tmpl w:val="EC307B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22" w15:restartNumberingAfterBreak="0">
    <w:nsid w:val="54481079"/>
    <w:multiLevelType w:val="hybridMultilevel"/>
    <w:tmpl w:val="631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A09C9"/>
    <w:multiLevelType w:val="hybridMultilevel"/>
    <w:tmpl w:val="AB3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51669"/>
    <w:multiLevelType w:val="hybridMultilevel"/>
    <w:tmpl w:val="000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D5BD9"/>
    <w:multiLevelType w:val="hybridMultilevel"/>
    <w:tmpl w:val="A62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E4B3E"/>
    <w:multiLevelType w:val="hybridMultilevel"/>
    <w:tmpl w:val="E8E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62809"/>
    <w:multiLevelType w:val="multilevel"/>
    <w:tmpl w:val="111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70423B"/>
    <w:multiLevelType w:val="hybridMultilevel"/>
    <w:tmpl w:val="036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41CE4"/>
    <w:multiLevelType w:val="hybridMultilevel"/>
    <w:tmpl w:val="CD3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84659"/>
    <w:multiLevelType w:val="hybridMultilevel"/>
    <w:tmpl w:val="F35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F087A"/>
    <w:multiLevelType w:val="multilevel"/>
    <w:tmpl w:val="B10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D2189"/>
    <w:multiLevelType w:val="hybridMultilevel"/>
    <w:tmpl w:val="780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34D65"/>
    <w:multiLevelType w:val="hybridMultilevel"/>
    <w:tmpl w:val="8B7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5"/>
  </w:num>
  <w:num w:numId="4">
    <w:abstractNumId w:val="7"/>
  </w:num>
  <w:num w:numId="5">
    <w:abstractNumId w:val="30"/>
  </w:num>
  <w:num w:numId="6">
    <w:abstractNumId w:val="22"/>
  </w:num>
  <w:num w:numId="7">
    <w:abstractNumId w:val="16"/>
  </w:num>
  <w:num w:numId="8">
    <w:abstractNumId w:val="3"/>
  </w:num>
  <w:num w:numId="9">
    <w:abstractNumId w:val="24"/>
  </w:num>
  <w:num w:numId="10">
    <w:abstractNumId w:val="14"/>
  </w:num>
  <w:num w:numId="11">
    <w:abstractNumId w:val="11"/>
  </w:num>
  <w:num w:numId="12">
    <w:abstractNumId w:val="10"/>
  </w:num>
  <w:num w:numId="13">
    <w:abstractNumId w:val="18"/>
  </w:num>
  <w:num w:numId="14">
    <w:abstractNumId w:val="19"/>
  </w:num>
  <w:num w:numId="15">
    <w:abstractNumId w:val="17"/>
  </w:num>
  <w:num w:numId="16">
    <w:abstractNumId w:val="12"/>
  </w:num>
  <w:num w:numId="17">
    <w:abstractNumId w:val="15"/>
  </w:num>
  <w:num w:numId="18">
    <w:abstractNumId w:val="8"/>
  </w:num>
  <w:num w:numId="19">
    <w:abstractNumId w:val="26"/>
  </w:num>
  <w:num w:numId="20">
    <w:abstractNumId w:val="32"/>
  </w:num>
  <w:num w:numId="21">
    <w:abstractNumId w:val="13"/>
  </w:num>
  <w:num w:numId="22">
    <w:abstractNumId w:val="9"/>
  </w:num>
  <w:num w:numId="23">
    <w:abstractNumId w:val="33"/>
  </w:num>
  <w:num w:numId="24">
    <w:abstractNumId w:val="28"/>
  </w:num>
  <w:num w:numId="25">
    <w:abstractNumId w:val="23"/>
  </w:num>
  <w:num w:numId="26">
    <w:abstractNumId w:val="29"/>
  </w:num>
  <w:num w:numId="27">
    <w:abstractNumId w:val="4"/>
  </w:num>
  <w:num w:numId="28">
    <w:abstractNumId w:val="27"/>
  </w:num>
  <w:num w:numId="29">
    <w:abstractNumId w:val="31"/>
  </w:num>
  <w:num w:numId="30">
    <w:abstractNumId w:val="0"/>
  </w:num>
  <w:num w:numId="31">
    <w:abstractNumId w:val="6"/>
  </w:num>
  <w:num w:numId="32">
    <w:abstractNumId w:val="20"/>
  </w:num>
  <w:num w:numId="33">
    <w:abstractNumId w:val="1"/>
  </w:num>
  <w:num w:numId="3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27"/>
    <w:rsid w:val="00011E30"/>
    <w:rsid w:val="000159DD"/>
    <w:rsid w:val="000356FC"/>
    <w:rsid w:val="00046DB6"/>
    <w:rsid w:val="00057264"/>
    <w:rsid w:val="00085060"/>
    <w:rsid w:val="000855D8"/>
    <w:rsid w:val="00091CF2"/>
    <w:rsid w:val="000A68A6"/>
    <w:rsid w:val="000C4A94"/>
    <w:rsid w:val="000C73A9"/>
    <w:rsid w:val="000D0F17"/>
    <w:rsid w:val="000D2DFF"/>
    <w:rsid w:val="000D3A3F"/>
    <w:rsid w:val="000F67E5"/>
    <w:rsid w:val="00106A69"/>
    <w:rsid w:val="001134DC"/>
    <w:rsid w:val="00162375"/>
    <w:rsid w:val="001636D2"/>
    <w:rsid w:val="00166EFB"/>
    <w:rsid w:val="00184954"/>
    <w:rsid w:val="00187F05"/>
    <w:rsid w:val="001969AC"/>
    <w:rsid w:val="001A7C2D"/>
    <w:rsid w:val="001B71D8"/>
    <w:rsid w:val="001C78B4"/>
    <w:rsid w:val="001D3680"/>
    <w:rsid w:val="001D402C"/>
    <w:rsid w:val="001D4689"/>
    <w:rsid w:val="001D474D"/>
    <w:rsid w:val="001D6D10"/>
    <w:rsid w:val="001E53AF"/>
    <w:rsid w:val="001F6510"/>
    <w:rsid w:val="0020250C"/>
    <w:rsid w:val="0022564D"/>
    <w:rsid w:val="002321E5"/>
    <w:rsid w:val="00233376"/>
    <w:rsid w:val="00233DF2"/>
    <w:rsid w:val="00234E21"/>
    <w:rsid w:val="00262DE2"/>
    <w:rsid w:val="00277344"/>
    <w:rsid w:val="00296E08"/>
    <w:rsid w:val="002B391C"/>
    <w:rsid w:val="002B3C20"/>
    <w:rsid w:val="002D1771"/>
    <w:rsid w:val="002F5C68"/>
    <w:rsid w:val="003157F1"/>
    <w:rsid w:val="00334D07"/>
    <w:rsid w:val="003613EC"/>
    <w:rsid w:val="0037190C"/>
    <w:rsid w:val="0039543D"/>
    <w:rsid w:val="003C1891"/>
    <w:rsid w:val="003C3F9F"/>
    <w:rsid w:val="003C7D73"/>
    <w:rsid w:val="003D0B11"/>
    <w:rsid w:val="003D0E9A"/>
    <w:rsid w:val="003D38BE"/>
    <w:rsid w:val="003D75A1"/>
    <w:rsid w:val="003F23EE"/>
    <w:rsid w:val="003F46B6"/>
    <w:rsid w:val="003F4FFD"/>
    <w:rsid w:val="003F684A"/>
    <w:rsid w:val="004249F2"/>
    <w:rsid w:val="00424B8F"/>
    <w:rsid w:val="00426FE6"/>
    <w:rsid w:val="004365AA"/>
    <w:rsid w:val="00442076"/>
    <w:rsid w:val="00454099"/>
    <w:rsid w:val="00455018"/>
    <w:rsid w:val="00463FE9"/>
    <w:rsid w:val="00465700"/>
    <w:rsid w:val="0047310F"/>
    <w:rsid w:val="00494EB8"/>
    <w:rsid w:val="004B4C9D"/>
    <w:rsid w:val="004E173E"/>
    <w:rsid w:val="004E64FA"/>
    <w:rsid w:val="00503D5B"/>
    <w:rsid w:val="00504722"/>
    <w:rsid w:val="00505016"/>
    <w:rsid w:val="00514C8A"/>
    <w:rsid w:val="00566AFB"/>
    <w:rsid w:val="00570C52"/>
    <w:rsid w:val="00570E4A"/>
    <w:rsid w:val="00594C29"/>
    <w:rsid w:val="005A4EE6"/>
    <w:rsid w:val="005A4F36"/>
    <w:rsid w:val="005B6B05"/>
    <w:rsid w:val="005C6DF6"/>
    <w:rsid w:val="005D2B21"/>
    <w:rsid w:val="005E22F8"/>
    <w:rsid w:val="00601A5E"/>
    <w:rsid w:val="00635374"/>
    <w:rsid w:val="00635A77"/>
    <w:rsid w:val="00636286"/>
    <w:rsid w:val="00653178"/>
    <w:rsid w:val="00656B30"/>
    <w:rsid w:val="00664285"/>
    <w:rsid w:val="006734B4"/>
    <w:rsid w:val="006877CA"/>
    <w:rsid w:val="006A4EA5"/>
    <w:rsid w:val="006B6F34"/>
    <w:rsid w:val="006F7A16"/>
    <w:rsid w:val="007157EB"/>
    <w:rsid w:val="007203F3"/>
    <w:rsid w:val="00726C1A"/>
    <w:rsid w:val="00734D19"/>
    <w:rsid w:val="00746A90"/>
    <w:rsid w:val="00750ECB"/>
    <w:rsid w:val="0075144D"/>
    <w:rsid w:val="00762EB0"/>
    <w:rsid w:val="007649C2"/>
    <w:rsid w:val="00776355"/>
    <w:rsid w:val="007853EF"/>
    <w:rsid w:val="00786D93"/>
    <w:rsid w:val="00790BFA"/>
    <w:rsid w:val="0079390F"/>
    <w:rsid w:val="007C06E6"/>
    <w:rsid w:val="007C10A5"/>
    <w:rsid w:val="007E2DBE"/>
    <w:rsid w:val="00817CC0"/>
    <w:rsid w:val="008202E6"/>
    <w:rsid w:val="008202F0"/>
    <w:rsid w:val="008418D0"/>
    <w:rsid w:val="0085684F"/>
    <w:rsid w:val="0085765E"/>
    <w:rsid w:val="008758D6"/>
    <w:rsid w:val="008920C5"/>
    <w:rsid w:val="00896214"/>
    <w:rsid w:val="008B1F62"/>
    <w:rsid w:val="008B54D8"/>
    <w:rsid w:val="008E0B08"/>
    <w:rsid w:val="008E41B4"/>
    <w:rsid w:val="008F3023"/>
    <w:rsid w:val="00902A3F"/>
    <w:rsid w:val="00904A45"/>
    <w:rsid w:val="009066A0"/>
    <w:rsid w:val="0092313E"/>
    <w:rsid w:val="00954788"/>
    <w:rsid w:val="0096168F"/>
    <w:rsid w:val="0096695A"/>
    <w:rsid w:val="009873D2"/>
    <w:rsid w:val="009918DB"/>
    <w:rsid w:val="009C36BC"/>
    <w:rsid w:val="009D1C42"/>
    <w:rsid w:val="009D6FA5"/>
    <w:rsid w:val="009F4A8E"/>
    <w:rsid w:val="00A051F4"/>
    <w:rsid w:val="00A07031"/>
    <w:rsid w:val="00A108CB"/>
    <w:rsid w:val="00A26B4B"/>
    <w:rsid w:val="00A42E6B"/>
    <w:rsid w:val="00A554A5"/>
    <w:rsid w:val="00A60101"/>
    <w:rsid w:val="00A73FDF"/>
    <w:rsid w:val="00AA0010"/>
    <w:rsid w:val="00AA0D45"/>
    <w:rsid w:val="00AA6672"/>
    <w:rsid w:val="00AC1B99"/>
    <w:rsid w:val="00AC7C81"/>
    <w:rsid w:val="00AE0D42"/>
    <w:rsid w:val="00AE6546"/>
    <w:rsid w:val="00AE746D"/>
    <w:rsid w:val="00AF125D"/>
    <w:rsid w:val="00AF2815"/>
    <w:rsid w:val="00AF6D7F"/>
    <w:rsid w:val="00B16528"/>
    <w:rsid w:val="00B2230B"/>
    <w:rsid w:val="00B339E0"/>
    <w:rsid w:val="00B366F8"/>
    <w:rsid w:val="00B452C9"/>
    <w:rsid w:val="00B84AC6"/>
    <w:rsid w:val="00B85D98"/>
    <w:rsid w:val="00B86637"/>
    <w:rsid w:val="00BA43AB"/>
    <w:rsid w:val="00BB41E4"/>
    <w:rsid w:val="00BB545E"/>
    <w:rsid w:val="00BD6E43"/>
    <w:rsid w:val="00BE32A7"/>
    <w:rsid w:val="00BF4039"/>
    <w:rsid w:val="00C02821"/>
    <w:rsid w:val="00C068F4"/>
    <w:rsid w:val="00C06A48"/>
    <w:rsid w:val="00C128CF"/>
    <w:rsid w:val="00C136B8"/>
    <w:rsid w:val="00C22870"/>
    <w:rsid w:val="00C27955"/>
    <w:rsid w:val="00C308E5"/>
    <w:rsid w:val="00C52E46"/>
    <w:rsid w:val="00C61229"/>
    <w:rsid w:val="00C6535D"/>
    <w:rsid w:val="00C70FC9"/>
    <w:rsid w:val="00C83358"/>
    <w:rsid w:val="00C843F9"/>
    <w:rsid w:val="00C91521"/>
    <w:rsid w:val="00C957B2"/>
    <w:rsid w:val="00D35DFD"/>
    <w:rsid w:val="00D44AB1"/>
    <w:rsid w:val="00D66445"/>
    <w:rsid w:val="00D66643"/>
    <w:rsid w:val="00DA0202"/>
    <w:rsid w:val="00DA7133"/>
    <w:rsid w:val="00DC2419"/>
    <w:rsid w:val="00DD544E"/>
    <w:rsid w:val="00DE436E"/>
    <w:rsid w:val="00E035A4"/>
    <w:rsid w:val="00E05D02"/>
    <w:rsid w:val="00E12B17"/>
    <w:rsid w:val="00E308CF"/>
    <w:rsid w:val="00E44E78"/>
    <w:rsid w:val="00E5125B"/>
    <w:rsid w:val="00E537DF"/>
    <w:rsid w:val="00E67F85"/>
    <w:rsid w:val="00E7196D"/>
    <w:rsid w:val="00E90F9F"/>
    <w:rsid w:val="00EA1336"/>
    <w:rsid w:val="00EA30D0"/>
    <w:rsid w:val="00EA4F41"/>
    <w:rsid w:val="00EA6A24"/>
    <w:rsid w:val="00EC5CA9"/>
    <w:rsid w:val="00EC6118"/>
    <w:rsid w:val="00EF0065"/>
    <w:rsid w:val="00EF4750"/>
    <w:rsid w:val="00F019FB"/>
    <w:rsid w:val="00F0594C"/>
    <w:rsid w:val="00F333B8"/>
    <w:rsid w:val="00F36734"/>
    <w:rsid w:val="00F410FD"/>
    <w:rsid w:val="00F41B19"/>
    <w:rsid w:val="00F56346"/>
    <w:rsid w:val="00F63220"/>
    <w:rsid w:val="00F75D49"/>
    <w:rsid w:val="00FA0B60"/>
    <w:rsid w:val="00FB4F27"/>
    <w:rsid w:val="00FC2E76"/>
    <w:rsid w:val="00FD197D"/>
    <w:rsid w:val="00FD28E6"/>
    <w:rsid w:val="00FD3713"/>
    <w:rsid w:val="00FD55D9"/>
    <w:rsid w:val="00FD6093"/>
    <w:rsid w:val="00FE565D"/>
    <w:rsid w:val="00FE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68C2F-FC46-4B85-8F06-1B80341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4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9"/>
    <w:qFormat/>
    <w:rsid w:val="008E0B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27"/>
    <w:pPr>
      <w:ind w:left="720"/>
      <w:contextualSpacing/>
    </w:pPr>
    <w:rPr>
      <w:rFonts w:eastAsia="Calibri"/>
    </w:rPr>
  </w:style>
  <w:style w:type="character" w:styleId="Hyperlink">
    <w:name w:val="Hyperlink"/>
    <w:rsid w:val="00FB4F27"/>
    <w:rPr>
      <w:color w:val="0000FF"/>
      <w:u w:val="single"/>
    </w:rPr>
  </w:style>
  <w:style w:type="character" w:styleId="Emphasis">
    <w:name w:val="Emphasis"/>
    <w:uiPriority w:val="20"/>
    <w:qFormat/>
    <w:rsid w:val="00FB4F27"/>
    <w:rPr>
      <w:i/>
      <w:iCs/>
    </w:rPr>
  </w:style>
  <w:style w:type="paragraph" w:styleId="BalloonText">
    <w:name w:val="Balloon Text"/>
    <w:basedOn w:val="Normal"/>
    <w:link w:val="BalloonTextChar"/>
    <w:uiPriority w:val="99"/>
    <w:semiHidden/>
    <w:unhideWhenUsed/>
    <w:rsid w:val="0029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08"/>
    <w:rPr>
      <w:rFonts w:ascii="Segoe UI" w:eastAsia="Times New Roman" w:hAnsi="Segoe UI" w:cs="Segoe UI"/>
      <w:sz w:val="18"/>
      <w:szCs w:val="18"/>
    </w:rPr>
  </w:style>
  <w:style w:type="paragraph" w:styleId="Header">
    <w:name w:val="header"/>
    <w:basedOn w:val="Normal"/>
    <w:link w:val="HeaderChar"/>
    <w:uiPriority w:val="99"/>
    <w:unhideWhenUsed/>
    <w:rsid w:val="00A60101"/>
    <w:pPr>
      <w:tabs>
        <w:tab w:val="center" w:pos="4680"/>
        <w:tab w:val="right" w:pos="9360"/>
      </w:tabs>
    </w:pPr>
  </w:style>
  <w:style w:type="character" w:customStyle="1" w:styleId="HeaderChar">
    <w:name w:val="Header Char"/>
    <w:basedOn w:val="DefaultParagraphFont"/>
    <w:link w:val="Header"/>
    <w:uiPriority w:val="99"/>
    <w:rsid w:val="00A601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101"/>
    <w:pPr>
      <w:tabs>
        <w:tab w:val="center" w:pos="4680"/>
        <w:tab w:val="right" w:pos="9360"/>
      </w:tabs>
    </w:pPr>
  </w:style>
  <w:style w:type="character" w:customStyle="1" w:styleId="FooterChar">
    <w:name w:val="Footer Char"/>
    <w:basedOn w:val="DefaultParagraphFont"/>
    <w:link w:val="Footer"/>
    <w:uiPriority w:val="99"/>
    <w:rsid w:val="00A60101"/>
    <w:rPr>
      <w:rFonts w:ascii="Times New Roman" w:eastAsia="Times New Roman" w:hAnsi="Times New Roman" w:cs="Times New Roman"/>
      <w:sz w:val="24"/>
      <w:szCs w:val="24"/>
    </w:rPr>
  </w:style>
  <w:style w:type="paragraph" w:styleId="HTMLPreformatted">
    <w:name w:val="HTML Preformatted"/>
    <w:basedOn w:val="Normal"/>
    <w:link w:val="HTMLPreformattedChar"/>
    <w:rsid w:val="0047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310F"/>
    <w:rPr>
      <w:rFonts w:ascii="Courier New" w:eastAsia="Times New Roman" w:hAnsi="Courier New" w:cs="Courier New"/>
      <w:sz w:val="20"/>
      <w:szCs w:val="20"/>
    </w:rPr>
  </w:style>
  <w:style w:type="paragraph" w:styleId="NoSpacing">
    <w:name w:val="No Spacing"/>
    <w:uiPriority w:val="1"/>
    <w:qFormat/>
    <w:rsid w:val="0047310F"/>
    <w:pPr>
      <w:widowControl w:val="0"/>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F410FD"/>
    <w:rPr>
      <w:sz w:val="16"/>
      <w:szCs w:val="16"/>
    </w:rPr>
  </w:style>
  <w:style w:type="paragraph" w:styleId="CommentText">
    <w:name w:val="annotation text"/>
    <w:basedOn w:val="Normal"/>
    <w:link w:val="CommentTextChar"/>
    <w:uiPriority w:val="99"/>
    <w:unhideWhenUsed/>
    <w:rsid w:val="00F410FD"/>
    <w:rPr>
      <w:sz w:val="20"/>
      <w:szCs w:val="20"/>
    </w:rPr>
  </w:style>
  <w:style w:type="character" w:customStyle="1" w:styleId="CommentTextChar">
    <w:name w:val="Comment Text Char"/>
    <w:basedOn w:val="DefaultParagraphFont"/>
    <w:link w:val="CommentText"/>
    <w:uiPriority w:val="99"/>
    <w:rsid w:val="00F410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10FD"/>
    <w:rPr>
      <w:b/>
      <w:bCs/>
    </w:rPr>
  </w:style>
  <w:style w:type="character" w:customStyle="1" w:styleId="CommentSubjectChar">
    <w:name w:val="Comment Subject Char"/>
    <w:basedOn w:val="CommentTextChar"/>
    <w:link w:val="CommentSubject"/>
    <w:uiPriority w:val="99"/>
    <w:semiHidden/>
    <w:rsid w:val="00F410FD"/>
    <w:rPr>
      <w:rFonts w:ascii="Times New Roman" w:eastAsia="Times New Roman" w:hAnsi="Times New Roman" w:cs="Times New Roman"/>
      <w:b/>
      <w:bCs/>
      <w:sz w:val="20"/>
      <w:szCs w:val="20"/>
    </w:rPr>
  </w:style>
  <w:style w:type="paragraph" w:styleId="Revision">
    <w:name w:val="Revision"/>
    <w:hidden/>
    <w:uiPriority w:val="99"/>
    <w:semiHidden/>
    <w:rsid w:val="00C308E5"/>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8E0B08"/>
    <w:rPr>
      <w:rFonts w:ascii="Times New Roman" w:eastAsia="Times New Roman" w:hAnsi="Times New Roman" w:cs="Times New Roman"/>
      <w:b/>
      <w:bCs/>
      <w:sz w:val="27"/>
      <w:szCs w:val="27"/>
    </w:rPr>
  </w:style>
  <w:style w:type="paragraph" w:customStyle="1" w:styleId="Body">
    <w:name w:val="Body"/>
    <w:rsid w:val="005A4E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5A4EE6"/>
    <w:pPr>
      <w:numPr>
        <w:numId w:val="1"/>
      </w:numPr>
    </w:pPr>
  </w:style>
  <w:style w:type="character" w:styleId="FollowedHyperlink">
    <w:name w:val="FollowedHyperlink"/>
    <w:basedOn w:val="DefaultParagraphFont"/>
    <w:uiPriority w:val="99"/>
    <w:semiHidden/>
    <w:unhideWhenUsed/>
    <w:rsid w:val="00AF125D"/>
    <w:rPr>
      <w:color w:val="954F72" w:themeColor="followedHyperlink"/>
      <w:u w:val="single"/>
    </w:rPr>
  </w:style>
  <w:style w:type="character" w:customStyle="1" w:styleId="UnresolvedMention">
    <w:name w:val="Unresolved Mention"/>
    <w:basedOn w:val="DefaultParagraphFont"/>
    <w:uiPriority w:val="99"/>
    <w:semiHidden/>
    <w:unhideWhenUsed/>
    <w:rsid w:val="00AF125D"/>
    <w:rPr>
      <w:color w:val="605E5C"/>
      <w:shd w:val="clear" w:color="auto" w:fill="E1DFDD"/>
    </w:rPr>
  </w:style>
  <w:style w:type="table" w:styleId="TableGrid">
    <w:name w:val="Table Grid"/>
    <w:basedOn w:val="TableNormal"/>
    <w:uiPriority w:val="39"/>
    <w:rsid w:val="00BF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355"/>
    <w:pPr>
      <w:spacing w:before="100" w:beforeAutospacing="1" w:after="100" w:afterAutospacing="1"/>
    </w:pPr>
    <w:rPr>
      <w:lang w:eastAsia="en-US"/>
    </w:rPr>
  </w:style>
  <w:style w:type="character" w:styleId="Strong">
    <w:name w:val="Strong"/>
    <w:basedOn w:val="DefaultParagraphFont"/>
    <w:uiPriority w:val="22"/>
    <w:qFormat/>
    <w:rsid w:val="00776355"/>
    <w:rPr>
      <w:b/>
      <w:bCs/>
    </w:rPr>
  </w:style>
  <w:style w:type="paragraph" w:customStyle="1" w:styleId="Default-RFP">
    <w:name w:val="Default - RFP"/>
    <w:basedOn w:val="BodyTextRFP"/>
    <w:next w:val="BodyTextRFP"/>
    <w:rsid w:val="00E44E78"/>
    <w:rPr>
      <w:snapToGrid w:val="0"/>
    </w:rPr>
  </w:style>
  <w:style w:type="paragraph" w:customStyle="1" w:styleId="BodyTextRFP">
    <w:name w:val="Body Text RFP"/>
    <w:basedOn w:val="Normal"/>
    <w:next w:val="Normal"/>
    <w:rsid w:val="00E44E78"/>
    <w:pPr>
      <w:jc w:val="both"/>
    </w:pPr>
    <w:rPr>
      <w:rFonts w:ascii="Arial" w:hAnsi="Arial"/>
      <w:szCs w:val="20"/>
      <w:lang w:eastAsia="en-US"/>
    </w:rPr>
  </w:style>
  <w:style w:type="paragraph" w:customStyle="1" w:styleId="Header1RFP">
    <w:name w:val="Header 1 RFP"/>
    <w:basedOn w:val="BodyTextRFP"/>
    <w:next w:val="BodyTextRFP"/>
    <w:rsid w:val="00E44E78"/>
    <w:pPr>
      <w:spacing w:after="240"/>
    </w:pPr>
    <w:rPr>
      <w:b/>
      <w:caps/>
    </w:rPr>
  </w:style>
  <w:style w:type="paragraph" w:customStyle="1" w:styleId="Title3-RFP">
    <w:name w:val="Title 3 - RFP"/>
    <w:basedOn w:val="BodyTextRFP"/>
    <w:next w:val="BodyTextRFP"/>
    <w:rsid w:val="00E44E78"/>
    <w:pPr>
      <w:jc w:val="center"/>
      <w:outlineLvl w:val="0"/>
    </w:pPr>
    <w:rPr>
      <w:caps/>
    </w:rPr>
  </w:style>
  <w:style w:type="paragraph" w:customStyle="1" w:styleId="Header2RFP">
    <w:name w:val="Header 2 RFP"/>
    <w:basedOn w:val="BodyTextRFP"/>
    <w:next w:val="BodyTextRFP"/>
    <w:rsid w:val="00E44E78"/>
    <w:rPr>
      <w:b/>
      <w:u w:val="single"/>
    </w:rPr>
  </w:style>
  <w:style w:type="paragraph" w:customStyle="1" w:styleId="Bullets-RFP">
    <w:name w:val="Bullets - RFP"/>
    <w:basedOn w:val="BodyTextRFP"/>
    <w:next w:val="BodyTextRFP"/>
    <w:rsid w:val="00E44E78"/>
    <w:pPr>
      <w:numPr>
        <w:numId w:val="33"/>
      </w:numPr>
      <w:spacing w:before="120"/>
    </w:pPr>
  </w:style>
  <w:style w:type="paragraph" w:styleId="BodyText">
    <w:name w:val="Body Text"/>
    <w:basedOn w:val="Normal"/>
    <w:link w:val="BodyTextChar"/>
    <w:unhideWhenUsed/>
    <w:rsid w:val="00E44E78"/>
    <w:pPr>
      <w:spacing w:after="120"/>
    </w:pPr>
    <w:rPr>
      <w:rFonts w:ascii="Courier New" w:hAnsi="Courier New"/>
      <w:szCs w:val="20"/>
      <w:lang w:eastAsia="en-US"/>
    </w:rPr>
  </w:style>
  <w:style w:type="character" w:customStyle="1" w:styleId="BodyTextChar">
    <w:name w:val="Body Text Char"/>
    <w:basedOn w:val="DefaultParagraphFont"/>
    <w:link w:val="BodyText"/>
    <w:rsid w:val="00E44E78"/>
    <w:rPr>
      <w:rFonts w:ascii="Courier New" w:eastAsia="Times New Roman" w:hAnsi="Courier New" w:cs="Times New Roman"/>
      <w:sz w:val="24"/>
      <w:szCs w:val="20"/>
    </w:rPr>
  </w:style>
  <w:style w:type="paragraph" w:customStyle="1" w:styleId="Default">
    <w:name w:val="Default"/>
    <w:basedOn w:val="BodyTextRFP"/>
    <w:next w:val="BodyTextRFP"/>
    <w:rsid w:val="00A73FDF"/>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68">
      <w:bodyDiv w:val="1"/>
      <w:marLeft w:val="0"/>
      <w:marRight w:val="0"/>
      <w:marTop w:val="0"/>
      <w:marBottom w:val="0"/>
      <w:divBdr>
        <w:top w:val="none" w:sz="0" w:space="0" w:color="auto"/>
        <w:left w:val="none" w:sz="0" w:space="0" w:color="auto"/>
        <w:bottom w:val="none" w:sz="0" w:space="0" w:color="auto"/>
        <w:right w:val="none" w:sz="0" w:space="0" w:color="auto"/>
      </w:divBdr>
    </w:div>
    <w:div w:id="77215292">
      <w:bodyDiv w:val="1"/>
      <w:marLeft w:val="0"/>
      <w:marRight w:val="0"/>
      <w:marTop w:val="0"/>
      <w:marBottom w:val="0"/>
      <w:divBdr>
        <w:top w:val="none" w:sz="0" w:space="0" w:color="auto"/>
        <w:left w:val="none" w:sz="0" w:space="0" w:color="auto"/>
        <w:bottom w:val="none" w:sz="0" w:space="0" w:color="auto"/>
        <w:right w:val="none" w:sz="0" w:space="0" w:color="auto"/>
      </w:divBdr>
    </w:div>
    <w:div w:id="170071585">
      <w:bodyDiv w:val="1"/>
      <w:marLeft w:val="0"/>
      <w:marRight w:val="0"/>
      <w:marTop w:val="0"/>
      <w:marBottom w:val="0"/>
      <w:divBdr>
        <w:top w:val="none" w:sz="0" w:space="0" w:color="auto"/>
        <w:left w:val="none" w:sz="0" w:space="0" w:color="auto"/>
        <w:bottom w:val="none" w:sz="0" w:space="0" w:color="auto"/>
        <w:right w:val="none" w:sz="0" w:space="0" w:color="auto"/>
      </w:divBdr>
    </w:div>
    <w:div w:id="270094244">
      <w:bodyDiv w:val="1"/>
      <w:marLeft w:val="0"/>
      <w:marRight w:val="0"/>
      <w:marTop w:val="0"/>
      <w:marBottom w:val="0"/>
      <w:divBdr>
        <w:top w:val="none" w:sz="0" w:space="0" w:color="auto"/>
        <w:left w:val="none" w:sz="0" w:space="0" w:color="auto"/>
        <w:bottom w:val="none" w:sz="0" w:space="0" w:color="auto"/>
        <w:right w:val="none" w:sz="0" w:space="0" w:color="auto"/>
      </w:divBdr>
    </w:div>
    <w:div w:id="391319579">
      <w:bodyDiv w:val="1"/>
      <w:marLeft w:val="0"/>
      <w:marRight w:val="0"/>
      <w:marTop w:val="0"/>
      <w:marBottom w:val="0"/>
      <w:divBdr>
        <w:top w:val="none" w:sz="0" w:space="0" w:color="auto"/>
        <w:left w:val="none" w:sz="0" w:space="0" w:color="auto"/>
        <w:bottom w:val="none" w:sz="0" w:space="0" w:color="auto"/>
        <w:right w:val="none" w:sz="0" w:space="0" w:color="auto"/>
      </w:divBdr>
    </w:div>
    <w:div w:id="418987869">
      <w:bodyDiv w:val="1"/>
      <w:marLeft w:val="0"/>
      <w:marRight w:val="0"/>
      <w:marTop w:val="0"/>
      <w:marBottom w:val="0"/>
      <w:divBdr>
        <w:top w:val="none" w:sz="0" w:space="0" w:color="auto"/>
        <w:left w:val="none" w:sz="0" w:space="0" w:color="auto"/>
        <w:bottom w:val="none" w:sz="0" w:space="0" w:color="auto"/>
        <w:right w:val="none" w:sz="0" w:space="0" w:color="auto"/>
      </w:divBdr>
    </w:div>
    <w:div w:id="427509767">
      <w:bodyDiv w:val="1"/>
      <w:marLeft w:val="0"/>
      <w:marRight w:val="0"/>
      <w:marTop w:val="0"/>
      <w:marBottom w:val="0"/>
      <w:divBdr>
        <w:top w:val="none" w:sz="0" w:space="0" w:color="auto"/>
        <w:left w:val="none" w:sz="0" w:space="0" w:color="auto"/>
        <w:bottom w:val="none" w:sz="0" w:space="0" w:color="auto"/>
        <w:right w:val="none" w:sz="0" w:space="0" w:color="auto"/>
      </w:divBdr>
    </w:div>
    <w:div w:id="437334355">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4685247">
      <w:bodyDiv w:val="1"/>
      <w:marLeft w:val="0"/>
      <w:marRight w:val="0"/>
      <w:marTop w:val="0"/>
      <w:marBottom w:val="0"/>
      <w:divBdr>
        <w:top w:val="none" w:sz="0" w:space="0" w:color="auto"/>
        <w:left w:val="none" w:sz="0" w:space="0" w:color="auto"/>
        <w:bottom w:val="none" w:sz="0" w:space="0" w:color="auto"/>
        <w:right w:val="none" w:sz="0" w:space="0" w:color="auto"/>
      </w:divBdr>
    </w:div>
    <w:div w:id="593395602">
      <w:bodyDiv w:val="1"/>
      <w:marLeft w:val="0"/>
      <w:marRight w:val="0"/>
      <w:marTop w:val="0"/>
      <w:marBottom w:val="0"/>
      <w:divBdr>
        <w:top w:val="none" w:sz="0" w:space="0" w:color="auto"/>
        <w:left w:val="none" w:sz="0" w:space="0" w:color="auto"/>
        <w:bottom w:val="none" w:sz="0" w:space="0" w:color="auto"/>
        <w:right w:val="none" w:sz="0" w:space="0" w:color="auto"/>
      </w:divBdr>
    </w:div>
    <w:div w:id="685711386">
      <w:bodyDiv w:val="1"/>
      <w:marLeft w:val="0"/>
      <w:marRight w:val="0"/>
      <w:marTop w:val="0"/>
      <w:marBottom w:val="0"/>
      <w:divBdr>
        <w:top w:val="none" w:sz="0" w:space="0" w:color="auto"/>
        <w:left w:val="none" w:sz="0" w:space="0" w:color="auto"/>
        <w:bottom w:val="none" w:sz="0" w:space="0" w:color="auto"/>
        <w:right w:val="none" w:sz="0" w:space="0" w:color="auto"/>
      </w:divBdr>
    </w:div>
    <w:div w:id="720372059">
      <w:bodyDiv w:val="1"/>
      <w:marLeft w:val="0"/>
      <w:marRight w:val="0"/>
      <w:marTop w:val="0"/>
      <w:marBottom w:val="0"/>
      <w:divBdr>
        <w:top w:val="none" w:sz="0" w:space="0" w:color="auto"/>
        <w:left w:val="none" w:sz="0" w:space="0" w:color="auto"/>
        <w:bottom w:val="none" w:sz="0" w:space="0" w:color="auto"/>
        <w:right w:val="none" w:sz="0" w:space="0" w:color="auto"/>
      </w:divBdr>
    </w:div>
    <w:div w:id="902258797">
      <w:bodyDiv w:val="1"/>
      <w:marLeft w:val="0"/>
      <w:marRight w:val="0"/>
      <w:marTop w:val="0"/>
      <w:marBottom w:val="0"/>
      <w:divBdr>
        <w:top w:val="none" w:sz="0" w:space="0" w:color="auto"/>
        <w:left w:val="none" w:sz="0" w:space="0" w:color="auto"/>
        <w:bottom w:val="none" w:sz="0" w:space="0" w:color="auto"/>
        <w:right w:val="none" w:sz="0" w:space="0" w:color="auto"/>
      </w:divBdr>
    </w:div>
    <w:div w:id="982125323">
      <w:bodyDiv w:val="1"/>
      <w:marLeft w:val="0"/>
      <w:marRight w:val="0"/>
      <w:marTop w:val="0"/>
      <w:marBottom w:val="0"/>
      <w:divBdr>
        <w:top w:val="none" w:sz="0" w:space="0" w:color="auto"/>
        <w:left w:val="none" w:sz="0" w:space="0" w:color="auto"/>
        <w:bottom w:val="none" w:sz="0" w:space="0" w:color="auto"/>
        <w:right w:val="none" w:sz="0" w:space="0" w:color="auto"/>
      </w:divBdr>
    </w:div>
    <w:div w:id="1012956937">
      <w:bodyDiv w:val="1"/>
      <w:marLeft w:val="0"/>
      <w:marRight w:val="0"/>
      <w:marTop w:val="0"/>
      <w:marBottom w:val="0"/>
      <w:divBdr>
        <w:top w:val="none" w:sz="0" w:space="0" w:color="auto"/>
        <w:left w:val="none" w:sz="0" w:space="0" w:color="auto"/>
        <w:bottom w:val="none" w:sz="0" w:space="0" w:color="auto"/>
        <w:right w:val="none" w:sz="0" w:space="0" w:color="auto"/>
      </w:divBdr>
    </w:div>
    <w:div w:id="1015350946">
      <w:bodyDiv w:val="1"/>
      <w:marLeft w:val="0"/>
      <w:marRight w:val="0"/>
      <w:marTop w:val="0"/>
      <w:marBottom w:val="0"/>
      <w:divBdr>
        <w:top w:val="none" w:sz="0" w:space="0" w:color="auto"/>
        <w:left w:val="none" w:sz="0" w:space="0" w:color="auto"/>
        <w:bottom w:val="none" w:sz="0" w:space="0" w:color="auto"/>
        <w:right w:val="none" w:sz="0" w:space="0" w:color="auto"/>
      </w:divBdr>
    </w:div>
    <w:div w:id="1040862381">
      <w:bodyDiv w:val="1"/>
      <w:marLeft w:val="0"/>
      <w:marRight w:val="0"/>
      <w:marTop w:val="0"/>
      <w:marBottom w:val="0"/>
      <w:divBdr>
        <w:top w:val="none" w:sz="0" w:space="0" w:color="auto"/>
        <w:left w:val="none" w:sz="0" w:space="0" w:color="auto"/>
        <w:bottom w:val="none" w:sz="0" w:space="0" w:color="auto"/>
        <w:right w:val="none" w:sz="0" w:space="0" w:color="auto"/>
      </w:divBdr>
    </w:div>
    <w:div w:id="1056584867">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91861046">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845390138">
      <w:bodyDiv w:val="1"/>
      <w:marLeft w:val="0"/>
      <w:marRight w:val="0"/>
      <w:marTop w:val="0"/>
      <w:marBottom w:val="0"/>
      <w:divBdr>
        <w:top w:val="none" w:sz="0" w:space="0" w:color="auto"/>
        <w:left w:val="none" w:sz="0" w:space="0" w:color="auto"/>
        <w:bottom w:val="none" w:sz="0" w:space="0" w:color="auto"/>
        <w:right w:val="none" w:sz="0" w:space="0" w:color="auto"/>
      </w:divBdr>
    </w:div>
    <w:div w:id="1979450609">
      <w:bodyDiv w:val="1"/>
      <w:marLeft w:val="0"/>
      <w:marRight w:val="0"/>
      <w:marTop w:val="0"/>
      <w:marBottom w:val="0"/>
      <w:divBdr>
        <w:top w:val="none" w:sz="0" w:space="0" w:color="auto"/>
        <w:left w:val="none" w:sz="0" w:space="0" w:color="auto"/>
        <w:bottom w:val="none" w:sz="0" w:space="0" w:color="auto"/>
        <w:right w:val="none" w:sz="0" w:space="0" w:color="auto"/>
      </w:divBdr>
    </w:div>
    <w:div w:id="2081367743">
      <w:bodyDiv w:val="1"/>
      <w:marLeft w:val="0"/>
      <w:marRight w:val="0"/>
      <w:marTop w:val="0"/>
      <w:marBottom w:val="0"/>
      <w:divBdr>
        <w:top w:val="none" w:sz="0" w:space="0" w:color="auto"/>
        <w:left w:val="none" w:sz="0" w:space="0" w:color="auto"/>
        <w:bottom w:val="none" w:sz="0" w:space="0" w:color="auto"/>
        <w:right w:val="none" w:sz="0" w:space="0" w:color="auto"/>
      </w:divBdr>
    </w:div>
    <w:div w:id="20904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dds.ca.gov/wp-content/uploads/2022/10/ATTACHMENT-H-Social-Rec-Grants-Definition-of-Key-Terms.pdf"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dds.ca.gov/wp-content/uploads/2022/10/ATTACHMENT-G-Project-Types-and-Standard-Outcome-Measures.pdf" TargetMode="External"/><Relationship Id="rId25" Type="http://schemas.openxmlformats.org/officeDocument/2006/relationships/hyperlink" Target="https://www.dds.ca.gov/wp-content/uploads/2022/10/ATTACHMENT-D-Grant-Budget-Form-Copy.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ds.ca.gov/wp-content/uploads/2022/10/ATTACHMENT-D-Grant-Budget-Form-Copy.xlsx" TargetMode="External"/><Relationship Id="rId20" Type="http://schemas.openxmlformats.org/officeDocument/2006/relationships/hyperlink" Target="https://www.dds.ca.gov/wp-content/uploads/2022/10/ATTACHMENT-C-Letter-of-Intent-Information-Application.pdf" TargetMode="External"/><Relationship Id="rId29" Type="http://schemas.openxmlformats.org/officeDocument/2006/relationships/hyperlink" Target="https://www.dds.ca.gov/wp-content/uploads/2022/10/ATTACHMENT-G-Project-Types-and-Standard-Outcome-Measur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9.PNG"/><Relationship Id="rId5" Type="http://schemas.openxmlformats.org/officeDocument/2006/relationships/styles" Target="styles.xml"/><Relationship Id="rId15" Type="http://schemas.openxmlformats.org/officeDocument/2006/relationships/hyperlink" Target="https://www.dds.ca.gov/wp-content/uploads/2022/10/ATTACHMENT-C-Letter-of-Intent-Information-Application.pdf" TargetMode="Externa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yperlink" Target="mailto:cirigoyen@lanterman.org" TargetMode="External"/><Relationship Id="rId19" Type="http://schemas.openxmlformats.org/officeDocument/2006/relationships/hyperlink" Target="https://www.dds.ca.gov/wp-content/uploads/2022/10/ATTACHMENT-I-Regional-Center-Directory.pdf" TargetMode="External"/><Relationship Id="rId31" Type="http://schemas.openxmlformats.org/officeDocument/2006/relationships/hyperlink" Target="https://www.dds.ca.gov/wp-content/uploads/2022/10/ATTACHMENT-I-Regional-Center-Directo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irigoyen@lanterman.org"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yperlink" Target="https://www.dds.ca.gov/wp-content/uploads/2022/10/ATTACHMENT-H-Social-Rec-Grants-Definition-of-Key-Te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C693D6-3104-5B40-84F5-24E3ECD5E1C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f4436a-91f8-417b-84f9-66898c355bcd" xsi:nil="true"/>
    <lcf76f155ced4ddcb4097134ff3c332f xmlns="85a6aeb2-63a8-4cbb-9eee-3dbf3b33ec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69BEBCD1F544C87959E469BD89CDE" ma:contentTypeVersion="16" ma:contentTypeDescription="Create a new document." ma:contentTypeScope="" ma:versionID="c8bd5f20b4182a7c3011849b11394593">
  <xsd:schema xmlns:xsd="http://www.w3.org/2001/XMLSchema" xmlns:xs="http://www.w3.org/2001/XMLSchema" xmlns:p="http://schemas.microsoft.com/office/2006/metadata/properties" xmlns:ns2="85a6aeb2-63a8-4cbb-9eee-3dbf3b33ecf6" xmlns:ns3="52f4436a-91f8-417b-84f9-66898c355bcd" targetNamespace="http://schemas.microsoft.com/office/2006/metadata/properties" ma:root="true" ma:fieldsID="2d04420e10ffc816b2d91d5fba832953" ns2:_="" ns3:_="">
    <xsd:import namespace="85a6aeb2-63a8-4cbb-9eee-3dbf3b33ecf6"/>
    <xsd:import namespace="52f4436a-91f8-417b-84f9-66898c355b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6aeb2-63a8-4cbb-9eee-3dbf3b33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9041af-bd80-4a48-bbb5-3232e776f4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f4436a-91f8-417b-84f9-66898c355b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347c5-22c9-4223-a921-e7da3b5d16e4}" ma:internalName="TaxCatchAll" ma:showField="CatchAllData" ma:web="52f4436a-91f8-417b-84f9-66898c355b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32A58-F291-4569-B3EA-CCD0E03FFF88}">
  <ds:schemaRefs>
    <ds:schemaRef ds:uri="http://schemas.microsoft.com/office/2006/metadata/properties"/>
    <ds:schemaRef ds:uri="http://schemas.microsoft.com/office/infopath/2007/PartnerControls"/>
    <ds:schemaRef ds:uri="52f4436a-91f8-417b-84f9-66898c355bcd"/>
    <ds:schemaRef ds:uri="85a6aeb2-63a8-4cbb-9eee-3dbf3b33ecf6"/>
  </ds:schemaRefs>
</ds:datastoreItem>
</file>

<file path=customXml/itemProps2.xml><?xml version="1.0" encoding="utf-8"?>
<ds:datastoreItem xmlns:ds="http://schemas.openxmlformats.org/officeDocument/2006/customXml" ds:itemID="{7285F235-4820-49E6-935D-71F7015C3E26}">
  <ds:schemaRefs>
    <ds:schemaRef ds:uri="http://schemas.microsoft.com/sharepoint/v3/contenttype/forms"/>
  </ds:schemaRefs>
</ds:datastoreItem>
</file>

<file path=customXml/itemProps3.xml><?xml version="1.0" encoding="utf-8"?>
<ds:datastoreItem xmlns:ds="http://schemas.openxmlformats.org/officeDocument/2006/customXml" ds:itemID="{E94F8133-2A75-4D20-8C4E-77E991C3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6aeb2-63a8-4cbb-9eee-3dbf3b33ecf6"/>
    <ds:schemaRef ds:uri="52f4436a-91f8-417b-84f9-66898c355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Jennings</dc:creator>
  <cp:keywords/>
  <dc:description/>
  <cp:lastModifiedBy>Christian Irigoyen</cp:lastModifiedBy>
  <cp:revision>2</cp:revision>
  <cp:lastPrinted>2022-10-28T16:43:00Z</cp:lastPrinted>
  <dcterms:created xsi:type="dcterms:W3CDTF">2022-11-21T21:42:00Z</dcterms:created>
  <dcterms:modified xsi:type="dcterms:W3CDTF">2022-11-21T21:42:00Z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documentId_2883</vt:lpwstr>
  </property>
  <property fmtid="{D5CDD505-2E9C-101B-9397-08002B2CF9AE}" pid="3" name="grammarly_documentContext">
    <vt:lpwstr>{"goals":[],"domain":"general","emotions":[],"dialect":"american"}</vt:lpwstr>
  </property>
  <property fmtid="{D5CDD505-2E9C-101B-9397-08002B2CF9AE}" pid="4" name="ContentTypeId">
    <vt:lpwstr>0x01010044569BEBCD1F544C87959E469BD89CDE</vt:lpwstr>
  </property>
</Properties>
</file>