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CFCD" w14:textId="77777777" w:rsidR="00EE196B" w:rsidRPr="00AE2DCC" w:rsidRDefault="00EE196B">
      <w:r w:rsidRPr="00AE2DCC">
        <w:rPr>
          <w:noProof/>
        </w:rPr>
        <w:drawing>
          <wp:anchor distT="12192" distB="6954" distL="114300" distR="114300" simplePos="0" relativeHeight="251659264" behindDoc="0" locked="0" layoutInCell="1" allowOverlap="1" wp14:anchorId="11A5A8C9" wp14:editId="3F67DB35">
            <wp:simplePos x="0" y="0"/>
            <wp:positionH relativeFrom="margin">
              <wp:posOffset>-57150</wp:posOffset>
            </wp:positionH>
            <wp:positionV relativeFrom="margin">
              <wp:posOffset>-285750</wp:posOffset>
            </wp:positionV>
            <wp:extent cx="485775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515" y="21181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A-Horizantal logo(color)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2BABD5" w14:textId="77777777" w:rsidR="00EE196B" w:rsidRPr="00AE2DCC" w:rsidRDefault="00EE196B"/>
    <w:p w14:paraId="56C9D0F6" w14:textId="005A862E" w:rsidR="00EE196B" w:rsidRDefault="00EE196B"/>
    <w:p w14:paraId="2BDA4763" w14:textId="6FF16F0A" w:rsidR="00271633" w:rsidRDefault="00271633" w:rsidP="00271633">
      <w:pPr>
        <w:pStyle w:val="NoSpacing"/>
      </w:pPr>
    </w:p>
    <w:p w14:paraId="1C3DC533" w14:textId="08C30508" w:rsidR="00271633" w:rsidRDefault="00271633" w:rsidP="00271633">
      <w:pPr>
        <w:pStyle w:val="NoSpacing"/>
      </w:pPr>
    </w:p>
    <w:p w14:paraId="3CA4ACAB" w14:textId="77777777" w:rsidR="00271633" w:rsidRPr="00271633" w:rsidRDefault="00271633" w:rsidP="00271633">
      <w:pPr>
        <w:pStyle w:val="NoSpacing"/>
      </w:pPr>
    </w:p>
    <w:p w14:paraId="6844EFE9" w14:textId="77777777" w:rsidR="00D228E1" w:rsidRPr="009B163F" w:rsidRDefault="00D228E1" w:rsidP="00D228E1">
      <w:pPr>
        <w:rPr>
          <w:szCs w:val="22"/>
        </w:rPr>
      </w:pPr>
      <w:r>
        <w:rPr>
          <w:szCs w:val="22"/>
        </w:rPr>
        <w:t>August 1, 2019</w:t>
      </w:r>
    </w:p>
    <w:p w14:paraId="354B28DE" w14:textId="77777777" w:rsidR="00BD2AD0" w:rsidRPr="009B163F" w:rsidRDefault="00BD2AD0" w:rsidP="00BD2AD0">
      <w:pPr>
        <w:rPr>
          <w:szCs w:val="22"/>
        </w:rPr>
      </w:pPr>
      <w:bookmarkStart w:id="0" w:name="_GoBack"/>
      <w:bookmarkEnd w:id="0"/>
    </w:p>
    <w:p w14:paraId="1F6B9961" w14:textId="3EBDEB3A" w:rsidR="00BD2AD0" w:rsidRPr="009B163F" w:rsidRDefault="003C2EC1" w:rsidP="00BD2AD0">
      <w:pPr>
        <w:rPr>
          <w:szCs w:val="22"/>
        </w:rPr>
      </w:pPr>
      <w:r>
        <w:rPr>
          <w:szCs w:val="22"/>
        </w:rPr>
        <w:t>Senator Jeff Stone</w:t>
      </w:r>
    </w:p>
    <w:p w14:paraId="7DE7D1B6" w14:textId="7040BF1F" w:rsidR="00BD2AD0" w:rsidRPr="009B163F" w:rsidRDefault="00BD2AD0" w:rsidP="00BD2AD0">
      <w:pPr>
        <w:rPr>
          <w:szCs w:val="22"/>
        </w:rPr>
      </w:pPr>
      <w:r w:rsidRPr="009B163F">
        <w:rPr>
          <w:szCs w:val="22"/>
        </w:rPr>
        <w:t xml:space="preserve">State Capitol, Room </w:t>
      </w:r>
      <w:r w:rsidR="00863FB2">
        <w:rPr>
          <w:szCs w:val="22"/>
        </w:rPr>
        <w:t>4082</w:t>
      </w:r>
    </w:p>
    <w:p w14:paraId="41652B27" w14:textId="77777777" w:rsidR="00BD2AD0" w:rsidRPr="009B163F" w:rsidRDefault="00BD2AD0" w:rsidP="00BD2AD0">
      <w:pPr>
        <w:rPr>
          <w:szCs w:val="22"/>
        </w:rPr>
      </w:pPr>
      <w:r w:rsidRPr="009B163F">
        <w:rPr>
          <w:szCs w:val="22"/>
        </w:rPr>
        <w:t>Sacramento, CA 95814</w:t>
      </w:r>
    </w:p>
    <w:p w14:paraId="613550B5" w14:textId="77777777" w:rsidR="00BD2AD0" w:rsidRPr="009B163F" w:rsidRDefault="00BD2AD0" w:rsidP="00BD2AD0">
      <w:pPr>
        <w:rPr>
          <w:szCs w:val="22"/>
        </w:rPr>
      </w:pPr>
    </w:p>
    <w:p w14:paraId="55660BEA" w14:textId="0F7F5B04" w:rsidR="00BD2AD0" w:rsidRPr="009B163F" w:rsidRDefault="00BD2AD0" w:rsidP="00BD2AD0">
      <w:pPr>
        <w:rPr>
          <w:b/>
          <w:bCs/>
          <w:szCs w:val="22"/>
        </w:rPr>
      </w:pPr>
      <w:r w:rsidRPr="009B163F">
        <w:rPr>
          <w:b/>
          <w:bCs/>
          <w:szCs w:val="22"/>
        </w:rPr>
        <w:t xml:space="preserve">RE: </w:t>
      </w:r>
      <w:r w:rsidRPr="009B163F">
        <w:rPr>
          <w:b/>
          <w:bCs/>
          <w:szCs w:val="22"/>
        </w:rPr>
        <w:tab/>
      </w:r>
      <w:r w:rsidR="005E35D9">
        <w:rPr>
          <w:b/>
          <w:bCs/>
          <w:szCs w:val="22"/>
        </w:rPr>
        <w:t>SB 412 (as amended April 2, 2019)</w:t>
      </w:r>
      <w:r w:rsidR="00FE298B" w:rsidRPr="009B163F">
        <w:rPr>
          <w:b/>
          <w:bCs/>
          <w:szCs w:val="22"/>
        </w:rPr>
        <w:t xml:space="preserve"> – </w:t>
      </w:r>
      <w:r w:rsidR="005E35D9">
        <w:rPr>
          <w:b/>
          <w:bCs/>
          <w:szCs w:val="22"/>
        </w:rPr>
        <w:t>SUPPORT</w:t>
      </w:r>
    </w:p>
    <w:p w14:paraId="46E3F9E2" w14:textId="77777777" w:rsidR="00BD2AD0" w:rsidRPr="009B163F" w:rsidRDefault="00BD2AD0" w:rsidP="00BD2AD0">
      <w:pPr>
        <w:rPr>
          <w:szCs w:val="22"/>
        </w:rPr>
      </w:pPr>
    </w:p>
    <w:p w14:paraId="32F61FD4" w14:textId="77777777" w:rsidR="00BD2AD0" w:rsidRPr="009B163F" w:rsidRDefault="00BD2AD0" w:rsidP="00BD2AD0">
      <w:pPr>
        <w:rPr>
          <w:szCs w:val="22"/>
        </w:rPr>
      </w:pPr>
    </w:p>
    <w:p w14:paraId="272FE1DB" w14:textId="5FBEA745" w:rsidR="00BD2AD0" w:rsidRPr="009B163F" w:rsidRDefault="00BD2AD0" w:rsidP="00BD2AD0">
      <w:pPr>
        <w:rPr>
          <w:szCs w:val="22"/>
        </w:rPr>
      </w:pPr>
      <w:r w:rsidRPr="009B163F">
        <w:rPr>
          <w:szCs w:val="22"/>
        </w:rPr>
        <w:t xml:space="preserve">Honorable </w:t>
      </w:r>
      <w:r w:rsidR="005E35D9">
        <w:rPr>
          <w:szCs w:val="22"/>
        </w:rPr>
        <w:t>Senator Stone</w:t>
      </w:r>
      <w:r w:rsidRPr="009B163F">
        <w:rPr>
          <w:szCs w:val="22"/>
        </w:rPr>
        <w:t xml:space="preserve">: </w:t>
      </w:r>
    </w:p>
    <w:p w14:paraId="72F8603A" w14:textId="77777777" w:rsidR="00BD2AD0" w:rsidRPr="009B163F" w:rsidRDefault="00BD2AD0" w:rsidP="00BD2AD0">
      <w:pPr>
        <w:rPr>
          <w:szCs w:val="22"/>
        </w:rPr>
      </w:pPr>
    </w:p>
    <w:p w14:paraId="204D12BA" w14:textId="33FAAD18" w:rsidR="009632EA" w:rsidRPr="009B163F" w:rsidRDefault="00863FB2" w:rsidP="009632EA">
      <w:pPr>
        <w:rPr>
          <w:szCs w:val="22"/>
        </w:rPr>
      </w:pPr>
      <w:r>
        <w:rPr>
          <w:szCs w:val="22"/>
        </w:rPr>
        <w:t xml:space="preserve">I am writing in support of SB 412, your bill to repeal the </w:t>
      </w:r>
      <w:r w:rsidRPr="008B5B34">
        <w:rPr>
          <w:szCs w:val="22"/>
        </w:rPr>
        <w:t>Family Cost Participation Program (FCPP) and Annual Family Program Fee (A</w:t>
      </w:r>
      <w:r>
        <w:rPr>
          <w:szCs w:val="22"/>
        </w:rPr>
        <w:t>FPF). These disability taxes create an artificial barrier to services, and by repealing them, it will be easier for people with developmental disabilities to access services they need.</w:t>
      </w:r>
    </w:p>
    <w:p w14:paraId="6E10BCF3" w14:textId="32CF4AA9" w:rsidR="00BD2AD0" w:rsidRDefault="00BD2AD0" w:rsidP="00BD2AD0">
      <w:pPr>
        <w:rPr>
          <w:szCs w:val="22"/>
        </w:rPr>
      </w:pPr>
    </w:p>
    <w:p w14:paraId="5570002C" w14:textId="6D7FC56B" w:rsidR="00863FB2" w:rsidRDefault="00FB1FC6" w:rsidP="00863FB2">
      <w:pPr>
        <w:pStyle w:val="NoSpacing"/>
      </w:pPr>
      <w:r w:rsidRPr="006359AC">
        <w:rPr>
          <w:highlight w:val="yellow"/>
        </w:rPr>
        <w:t>In this paragraph, say what your organization does.</w:t>
      </w:r>
    </w:p>
    <w:p w14:paraId="4B35222D" w14:textId="506CF256" w:rsidR="00863FB2" w:rsidRDefault="00863FB2" w:rsidP="00863FB2">
      <w:pPr>
        <w:pStyle w:val="NoSpacing"/>
      </w:pPr>
    </w:p>
    <w:p w14:paraId="629F69E1" w14:textId="77777777" w:rsidR="006E7931" w:rsidRDefault="00F2086C" w:rsidP="006E7931">
      <w:pPr>
        <w:pStyle w:val="NoSpacing"/>
      </w:pPr>
      <w:r>
        <w:t xml:space="preserve">During the Great Recession, the developmental disabilities services system took over $1 billion in cuts and funding reductions. Though our economy has rebounded, many of those cuts remain in place. </w:t>
      </w:r>
      <w:r w:rsidR="006359AC">
        <w:t xml:space="preserve">It is long past time to reverse </w:t>
      </w:r>
      <w:r w:rsidR="006E7931">
        <w:t xml:space="preserve">these cuts, including the disability taxes. </w:t>
      </w:r>
    </w:p>
    <w:p w14:paraId="5C788F78" w14:textId="77777777" w:rsidR="006E7931" w:rsidRDefault="006E7931" w:rsidP="006E7931">
      <w:pPr>
        <w:pStyle w:val="NoSpacing"/>
      </w:pPr>
    </w:p>
    <w:p w14:paraId="3297D833" w14:textId="18ADBEAC" w:rsidR="00F2086C" w:rsidRDefault="006E7931" w:rsidP="006E7931">
      <w:pPr>
        <w:pStyle w:val="NoSpacing"/>
      </w:pPr>
      <w:r>
        <w:t>Thank you for authoring SB 412, to repeal the FCPP and AFPF. We are proud to support you in this!</w:t>
      </w:r>
    </w:p>
    <w:p w14:paraId="53D0AF9D" w14:textId="77777777" w:rsidR="006E7931" w:rsidRDefault="006E7931" w:rsidP="006E7931">
      <w:pPr>
        <w:pStyle w:val="NoSpacing"/>
      </w:pPr>
    </w:p>
    <w:p w14:paraId="54C17B95" w14:textId="77777777" w:rsidR="00BD2AD0" w:rsidRPr="009B163F" w:rsidRDefault="00BD2AD0" w:rsidP="00BD2AD0">
      <w:pPr>
        <w:rPr>
          <w:szCs w:val="22"/>
        </w:rPr>
      </w:pPr>
    </w:p>
    <w:p w14:paraId="1DAEEECE" w14:textId="77777777" w:rsidR="00BD2AD0" w:rsidRPr="009B163F" w:rsidRDefault="00BD2AD0" w:rsidP="00BD2AD0">
      <w:pPr>
        <w:rPr>
          <w:szCs w:val="22"/>
        </w:rPr>
      </w:pPr>
      <w:r w:rsidRPr="009B163F">
        <w:rPr>
          <w:szCs w:val="22"/>
        </w:rPr>
        <w:t xml:space="preserve">Sincerely, </w:t>
      </w:r>
    </w:p>
    <w:p w14:paraId="5B0C08FC" w14:textId="77777777" w:rsidR="00BD2AD0" w:rsidRPr="009B163F" w:rsidRDefault="00BD2AD0" w:rsidP="00BD2AD0">
      <w:pPr>
        <w:rPr>
          <w:szCs w:val="22"/>
        </w:rPr>
      </w:pPr>
    </w:p>
    <w:p w14:paraId="77C19591" w14:textId="26D4FE7C" w:rsidR="00BD2AD0" w:rsidRPr="006E7931" w:rsidRDefault="00F2086C" w:rsidP="00BD2AD0">
      <w:pPr>
        <w:rPr>
          <w:szCs w:val="22"/>
          <w:highlight w:val="yellow"/>
        </w:rPr>
      </w:pPr>
      <w:r w:rsidRPr="006E7931">
        <w:rPr>
          <w:szCs w:val="22"/>
          <w:highlight w:val="yellow"/>
        </w:rPr>
        <w:t>YOUR NAME</w:t>
      </w:r>
    </w:p>
    <w:p w14:paraId="3B86B723" w14:textId="6B68EBA4" w:rsidR="00BD2AD0" w:rsidRPr="009B163F" w:rsidRDefault="00F2086C" w:rsidP="00BD2AD0">
      <w:pPr>
        <w:rPr>
          <w:szCs w:val="22"/>
        </w:rPr>
      </w:pPr>
      <w:r w:rsidRPr="006E7931">
        <w:rPr>
          <w:szCs w:val="22"/>
          <w:highlight w:val="yellow"/>
        </w:rPr>
        <w:t>YOUR TITLE</w:t>
      </w:r>
    </w:p>
    <w:p w14:paraId="3A2C9A13" w14:textId="77777777" w:rsidR="00BD2AD0" w:rsidRPr="009B163F" w:rsidRDefault="00BD2AD0" w:rsidP="00BD2AD0">
      <w:pPr>
        <w:rPr>
          <w:szCs w:val="22"/>
        </w:rPr>
      </w:pPr>
    </w:p>
    <w:p w14:paraId="5C1F9501" w14:textId="77777777" w:rsidR="00BD2AD0" w:rsidRPr="009B163F" w:rsidRDefault="00BD2AD0" w:rsidP="00BD2AD0">
      <w:pPr>
        <w:rPr>
          <w:szCs w:val="22"/>
        </w:rPr>
      </w:pPr>
    </w:p>
    <w:p w14:paraId="79BED99C" w14:textId="784A21D6" w:rsidR="00BD2AD0" w:rsidRPr="009B163F" w:rsidRDefault="00BD2AD0" w:rsidP="00BD2AD0">
      <w:pPr>
        <w:pStyle w:val="NoSpacing"/>
        <w:rPr>
          <w:szCs w:val="22"/>
        </w:rPr>
      </w:pPr>
    </w:p>
    <w:p w14:paraId="29AF337A" w14:textId="07EDF753" w:rsidR="00BD2AD0" w:rsidRDefault="00BD2AD0" w:rsidP="00BD2AD0">
      <w:pPr>
        <w:pStyle w:val="NoSpacing"/>
        <w:rPr>
          <w:szCs w:val="22"/>
        </w:rPr>
      </w:pPr>
    </w:p>
    <w:p w14:paraId="29D1AB02" w14:textId="6B9A2917" w:rsidR="006E7931" w:rsidRDefault="006E7931" w:rsidP="00BD2AD0">
      <w:pPr>
        <w:pStyle w:val="NoSpacing"/>
        <w:rPr>
          <w:szCs w:val="22"/>
        </w:rPr>
      </w:pPr>
    </w:p>
    <w:p w14:paraId="14274E7F" w14:textId="42FB0A6B" w:rsidR="006E7931" w:rsidRDefault="006E7931" w:rsidP="00BD2AD0">
      <w:pPr>
        <w:pStyle w:val="NoSpacing"/>
        <w:rPr>
          <w:szCs w:val="22"/>
        </w:rPr>
      </w:pPr>
    </w:p>
    <w:p w14:paraId="70177868" w14:textId="1824D745" w:rsidR="006E7931" w:rsidRDefault="006E7931" w:rsidP="00BD2AD0">
      <w:pPr>
        <w:pStyle w:val="NoSpacing"/>
        <w:rPr>
          <w:szCs w:val="22"/>
        </w:rPr>
      </w:pPr>
    </w:p>
    <w:p w14:paraId="58634263" w14:textId="72F6C560" w:rsidR="006E7931" w:rsidRDefault="006E7931" w:rsidP="00BD2AD0">
      <w:pPr>
        <w:pStyle w:val="NoSpacing"/>
        <w:rPr>
          <w:szCs w:val="22"/>
        </w:rPr>
      </w:pPr>
    </w:p>
    <w:p w14:paraId="7FFEE5EA" w14:textId="70C72D87" w:rsidR="006E7931" w:rsidRDefault="006E7931" w:rsidP="00BD2AD0">
      <w:pPr>
        <w:pStyle w:val="NoSpacing"/>
        <w:rPr>
          <w:szCs w:val="22"/>
        </w:rPr>
      </w:pPr>
    </w:p>
    <w:p w14:paraId="526B23D9" w14:textId="02D7CBD8" w:rsidR="006E7931" w:rsidRDefault="006E7931" w:rsidP="00BD2AD0">
      <w:pPr>
        <w:pStyle w:val="NoSpacing"/>
        <w:rPr>
          <w:szCs w:val="22"/>
        </w:rPr>
      </w:pPr>
    </w:p>
    <w:p w14:paraId="4156A843" w14:textId="77777777" w:rsidR="00BD2AD0" w:rsidRPr="009B163F" w:rsidRDefault="00BD2AD0" w:rsidP="00BD2AD0">
      <w:pPr>
        <w:rPr>
          <w:szCs w:val="22"/>
        </w:rPr>
      </w:pPr>
    </w:p>
    <w:p w14:paraId="3481DD1F" w14:textId="12D59BC8" w:rsidR="00BD2AD0" w:rsidRDefault="00BD2AD0" w:rsidP="00BD2AD0">
      <w:pPr>
        <w:pStyle w:val="NoSpacing"/>
        <w:rPr>
          <w:szCs w:val="22"/>
        </w:rPr>
      </w:pPr>
    </w:p>
    <w:p w14:paraId="27C611B0" w14:textId="77777777" w:rsidR="00BA3755" w:rsidRPr="009B163F" w:rsidRDefault="00BA3755" w:rsidP="00BD2AD0">
      <w:pPr>
        <w:pStyle w:val="NoSpacing"/>
        <w:rPr>
          <w:szCs w:val="22"/>
        </w:rPr>
      </w:pPr>
    </w:p>
    <w:p w14:paraId="750CAC60" w14:textId="1E06B844" w:rsidR="00BD2AD0" w:rsidRPr="009B163F" w:rsidRDefault="00BD2AD0" w:rsidP="00614AEF">
      <w:pPr>
        <w:rPr>
          <w:szCs w:val="22"/>
        </w:rPr>
      </w:pPr>
      <w:r w:rsidRPr="009B163F">
        <w:rPr>
          <w:szCs w:val="22"/>
        </w:rPr>
        <w:t>Cc:</w:t>
      </w:r>
      <w:r w:rsidRPr="009B163F">
        <w:rPr>
          <w:szCs w:val="22"/>
        </w:rPr>
        <w:tab/>
      </w:r>
      <w:r w:rsidR="006E7931">
        <w:rPr>
          <w:color w:val="000000"/>
          <w:szCs w:val="22"/>
          <w:shd w:val="clear" w:color="auto" w:fill="FFFFFF"/>
        </w:rPr>
        <w:t>Daniel Savino, Government Affairs Director, Association of Regional Center Agencies (ARCA)</w:t>
      </w:r>
    </w:p>
    <w:sectPr w:rsidR="00BD2AD0" w:rsidRPr="009B163F" w:rsidSect="0006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15D"/>
    <w:multiLevelType w:val="hybridMultilevel"/>
    <w:tmpl w:val="FE3CEC14"/>
    <w:lvl w:ilvl="0" w:tplc="29C600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FE051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76C4"/>
    <w:multiLevelType w:val="hybridMultilevel"/>
    <w:tmpl w:val="223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466"/>
    <w:multiLevelType w:val="hybridMultilevel"/>
    <w:tmpl w:val="865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09C8"/>
    <w:multiLevelType w:val="hybridMultilevel"/>
    <w:tmpl w:val="FD16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A10"/>
    <w:multiLevelType w:val="hybridMultilevel"/>
    <w:tmpl w:val="EA90401E"/>
    <w:lvl w:ilvl="0" w:tplc="6E040F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49A8"/>
    <w:multiLevelType w:val="hybridMultilevel"/>
    <w:tmpl w:val="D8F6C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6B"/>
    <w:rsid w:val="00015FAB"/>
    <w:rsid w:val="0004024C"/>
    <w:rsid w:val="00060DA8"/>
    <w:rsid w:val="00120221"/>
    <w:rsid w:val="0012389A"/>
    <w:rsid w:val="00141026"/>
    <w:rsid w:val="001768CA"/>
    <w:rsid w:val="001B13A2"/>
    <w:rsid w:val="001D539A"/>
    <w:rsid w:val="00200E5C"/>
    <w:rsid w:val="00271633"/>
    <w:rsid w:val="00293DBF"/>
    <w:rsid w:val="002B7A7C"/>
    <w:rsid w:val="0032772E"/>
    <w:rsid w:val="003B2F1A"/>
    <w:rsid w:val="003C2EC1"/>
    <w:rsid w:val="003E5A48"/>
    <w:rsid w:val="00441A3B"/>
    <w:rsid w:val="00456358"/>
    <w:rsid w:val="0047010D"/>
    <w:rsid w:val="004C4056"/>
    <w:rsid w:val="004F6124"/>
    <w:rsid w:val="00501EAD"/>
    <w:rsid w:val="00517A43"/>
    <w:rsid w:val="00524E87"/>
    <w:rsid w:val="0054144B"/>
    <w:rsid w:val="005E35D9"/>
    <w:rsid w:val="005F6A4F"/>
    <w:rsid w:val="00614AEF"/>
    <w:rsid w:val="006359AC"/>
    <w:rsid w:val="006E7931"/>
    <w:rsid w:val="00716926"/>
    <w:rsid w:val="007629CC"/>
    <w:rsid w:val="00796131"/>
    <w:rsid w:val="007A3338"/>
    <w:rsid w:val="007E4E6E"/>
    <w:rsid w:val="00820F26"/>
    <w:rsid w:val="00851140"/>
    <w:rsid w:val="00863FB2"/>
    <w:rsid w:val="0089743E"/>
    <w:rsid w:val="008B5B34"/>
    <w:rsid w:val="008F60B3"/>
    <w:rsid w:val="009632EA"/>
    <w:rsid w:val="0098648E"/>
    <w:rsid w:val="009A525C"/>
    <w:rsid w:val="009B163F"/>
    <w:rsid w:val="009F404C"/>
    <w:rsid w:val="00A37E46"/>
    <w:rsid w:val="00A527F3"/>
    <w:rsid w:val="00AE2DCC"/>
    <w:rsid w:val="00BA3755"/>
    <w:rsid w:val="00BA4C1F"/>
    <w:rsid w:val="00BD2354"/>
    <w:rsid w:val="00BD2AD0"/>
    <w:rsid w:val="00C30DE9"/>
    <w:rsid w:val="00C41716"/>
    <w:rsid w:val="00C606D9"/>
    <w:rsid w:val="00C970BC"/>
    <w:rsid w:val="00CF3479"/>
    <w:rsid w:val="00D0648E"/>
    <w:rsid w:val="00D228E1"/>
    <w:rsid w:val="00D44E70"/>
    <w:rsid w:val="00DE5F6D"/>
    <w:rsid w:val="00E341B6"/>
    <w:rsid w:val="00E45BEA"/>
    <w:rsid w:val="00E66AC0"/>
    <w:rsid w:val="00EA7B3C"/>
    <w:rsid w:val="00EE196B"/>
    <w:rsid w:val="00F012D4"/>
    <w:rsid w:val="00F2086C"/>
    <w:rsid w:val="00FB1FC6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C2A3"/>
  <w15:docId w15:val="{B374C32A-0D48-4ED2-AFD0-4581FA02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9F404C"/>
    <w:pPr>
      <w:spacing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04C"/>
    <w:pPr>
      <w:spacing w:line="240" w:lineRule="auto"/>
    </w:pPr>
    <w:rPr>
      <w:rFonts w:asciiTheme="minorHAnsi" w:hAnsiTheme="minorHAnsi"/>
      <w:sz w:val="22"/>
    </w:rPr>
  </w:style>
  <w:style w:type="paragraph" w:customStyle="1" w:styleId="BasicParagraph">
    <w:name w:val="[Basic Paragraph]"/>
    <w:basedOn w:val="Normal"/>
    <w:uiPriority w:val="99"/>
    <w:rsid w:val="00EE19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10D"/>
    <w:pPr>
      <w:ind w:left="720"/>
      <w:contextualSpacing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76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Savino</cp:lastModifiedBy>
  <cp:revision>4</cp:revision>
  <dcterms:created xsi:type="dcterms:W3CDTF">2019-06-24T23:09:00Z</dcterms:created>
  <dcterms:modified xsi:type="dcterms:W3CDTF">2019-07-30T23:26:00Z</dcterms:modified>
</cp:coreProperties>
</file>